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CC5" w:rsidRPr="003B02C1" w:rsidRDefault="00384CC5" w:rsidP="00384CC5">
      <w:pPr>
        <w:jc w:val="both"/>
        <w:rPr>
          <w:rFonts w:ascii="Arial" w:hAnsi="Arial" w:cs="Arial"/>
          <w:b/>
          <w:color w:val="000000" w:themeColor="text1"/>
          <w:sz w:val="22"/>
          <w:szCs w:val="22"/>
        </w:rPr>
      </w:pPr>
    </w:p>
    <w:tbl>
      <w:tblPr>
        <w:tblStyle w:val="Table3Deffects3"/>
        <w:tblW w:w="9738" w:type="dxa"/>
        <w:tblLook w:val="04A0" w:firstRow="1" w:lastRow="0" w:firstColumn="1" w:lastColumn="0" w:noHBand="0" w:noVBand="1"/>
      </w:tblPr>
      <w:tblGrid>
        <w:gridCol w:w="9464"/>
        <w:gridCol w:w="274"/>
      </w:tblGrid>
      <w:tr w:rsidR="00384CC5" w:rsidRPr="003B02C1" w:rsidTr="00386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DEPARTMENT OF SOCIAL WELFARE AND DEVELOPMENT</w:t>
            </w:r>
          </w:p>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Notes to Financial Statements</w:t>
            </w:r>
          </w:p>
          <w:p w:rsidR="00BA6F57" w:rsidRPr="003B02C1" w:rsidRDefault="00BA6F57"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Fund Cluster 4</w:t>
            </w:r>
          </w:p>
          <w:p w:rsidR="00FA7E7D" w:rsidRPr="003B02C1" w:rsidRDefault="00384CC5" w:rsidP="00FA7E7D">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 xml:space="preserve">For </w:t>
            </w:r>
            <w:r w:rsidR="00B76A70" w:rsidRPr="003B02C1">
              <w:rPr>
                <w:rFonts w:ascii="Arial" w:hAnsi="Arial" w:cs="Arial"/>
                <w:color w:val="000000" w:themeColor="text1"/>
                <w:sz w:val="22"/>
                <w:szCs w:val="22"/>
              </w:rPr>
              <w:t>the year</w:t>
            </w:r>
            <w:r w:rsidR="0031420F" w:rsidRPr="003B02C1">
              <w:rPr>
                <w:rFonts w:ascii="Arial" w:hAnsi="Arial" w:cs="Arial"/>
                <w:color w:val="000000" w:themeColor="text1"/>
                <w:sz w:val="22"/>
                <w:szCs w:val="22"/>
              </w:rPr>
              <w:t xml:space="preserve"> ending</w:t>
            </w:r>
            <w:r w:rsidR="00F803BD" w:rsidRPr="003B02C1">
              <w:rPr>
                <w:rFonts w:ascii="Arial" w:hAnsi="Arial" w:cs="Arial"/>
                <w:color w:val="000000" w:themeColor="text1"/>
                <w:sz w:val="22"/>
                <w:szCs w:val="22"/>
              </w:rPr>
              <w:t xml:space="preserve"> </w:t>
            </w:r>
            <w:r w:rsidR="00B76A70" w:rsidRPr="003B02C1">
              <w:rPr>
                <w:rFonts w:ascii="Arial" w:hAnsi="Arial" w:cs="Arial"/>
                <w:color w:val="000000" w:themeColor="text1"/>
                <w:sz w:val="22"/>
                <w:szCs w:val="22"/>
              </w:rPr>
              <w:t>Dec</w:t>
            </w:r>
            <w:r w:rsidR="00F8604F" w:rsidRPr="003B02C1">
              <w:rPr>
                <w:rFonts w:ascii="Arial" w:hAnsi="Arial" w:cs="Arial"/>
                <w:color w:val="000000" w:themeColor="text1"/>
                <w:sz w:val="22"/>
                <w:szCs w:val="22"/>
              </w:rPr>
              <w:t>ember</w:t>
            </w:r>
            <w:r w:rsidR="00F803BD" w:rsidRPr="003B02C1">
              <w:rPr>
                <w:rFonts w:ascii="Arial" w:hAnsi="Arial" w:cs="Arial"/>
                <w:color w:val="000000" w:themeColor="text1"/>
                <w:sz w:val="22"/>
                <w:szCs w:val="22"/>
              </w:rPr>
              <w:t xml:space="preserve"> 3</w:t>
            </w:r>
            <w:r w:rsidR="00B76A70" w:rsidRPr="003B02C1">
              <w:rPr>
                <w:rFonts w:ascii="Arial" w:hAnsi="Arial" w:cs="Arial"/>
                <w:color w:val="000000" w:themeColor="text1"/>
                <w:sz w:val="22"/>
                <w:szCs w:val="22"/>
              </w:rPr>
              <w:t>1</w:t>
            </w:r>
            <w:r w:rsidR="00F803BD" w:rsidRPr="003B02C1">
              <w:rPr>
                <w:rFonts w:ascii="Arial" w:hAnsi="Arial" w:cs="Arial"/>
                <w:color w:val="000000" w:themeColor="text1"/>
                <w:sz w:val="22"/>
                <w:szCs w:val="22"/>
              </w:rPr>
              <w:t xml:space="preserve">, </w:t>
            </w:r>
            <w:r w:rsidR="0031420F" w:rsidRPr="003B02C1">
              <w:rPr>
                <w:rFonts w:ascii="Arial" w:hAnsi="Arial" w:cs="Arial"/>
                <w:color w:val="000000" w:themeColor="text1"/>
                <w:sz w:val="22"/>
                <w:szCs w:val="22"/>
              </w:rPr>
              <w:t>202</w:t>
            </w:r>
            <w:r w:rsidR="00B97B34">
              <w:rPr>
                <w:rFonts w:ascii="Arial" w:hAnsi="Arial" w:cs="Arial"/>
                <w:color w:val="000000" w:themeColor="text1"/>
                <w:sz w:val="22"/>
                <w:szCs w:val="22"/>
              </w:rPr>
              <w:t>3</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color w:val="000000" w:themeColor="text1"/>
                <w:sz w:val="22"/>
                <w:szCs w:val="22"/>
              </w:rPr>
              <w:t>General Information/Agency Profile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 xml:space="preserve">The financial statements of Department of Social Welfare and Development Regional Office X were authorized for issue on </w:t>
            </w:r>
            <w:r w:rsidR="003B02C1">
              <w:rPr>
                <w:rFonts w:ascii="Arial" w:hAnsi="Arial" w:cs="Arial"/>
                <w:color w:val="000000" w:themeColor="text1"/>
                <w:sz w:val="22"/>
                <w:szCs w:val="22"/>
              </w:rPr>
              <w:t>January</w:t>
            </w:r>
            <w:r w:rsidR="00D77DC5" w:rsidRPr="003B02C1">
              <w:rPr>
                <w:rFonts w:ascii="Arial" w:hAnsi="Arial" w:cs="Arial"/>
                <w:color w:val="000000" w:themeColor="text1"/>
                <w:sz w:val="22"/>
                <w:szCs w:val="22"/>
              </w:rPr>
              <w:t xml:space="preserve"> </w:t>
            </w:r>
            <w:r w:rsidR="0031420F" w:rsidRPr="003B02C1">
              <w:rPr>
                <w:rFonts w:ascii="Arial" w:hAnsi="Arial" w:cs="Arial"/>
                <w:color w:val="000000" w:themeColor="text1"/>
                <w:sz w:val="22"/>
                <w:szCs w:val="22"/>
              </w:rPr>
              <w:t>3</w:t>
            </w:r>
            <w:r w:rsidR="00B76A70" w:rsidRPr="003B02C1">
              <w:rPr>
                <w:rFonts w:ascii="Arial" w:hAnsi="Arial" w:cs="Arial"/>
                <w:color w:val="000000" w:themeColor="text1"/>
                <w:sz w:val="22"/>
                <w:szCs w:val="22"/>
              </w:rPr>
              <w:t>1</w:t>
            </w:r>
            <w:r w:rsidR="00D77DC5" w:rsidRPr="003B02C1">
              <w:rPr>
                <w:rFonts w:ascii="Arial" w:hAnsi="Arial" w:cs="Arial"/>
                <w:color w:val="000000" w:themeColor="text1"/>
                <w:sz w:val="22"/>
                <w:szCs w:val="22"/>
              </w:rPr>
              <w:t>, 202</w:t>
            </w:r>
            <w:r w:rsidR="00B97B34">
              <w:rPr>
                <w:rFonts w:ascii="Arial" w:hAnsi="Arial" w:cs="Arial"/>
                <w:color w:val="000000" w:themeColor="text1"/>
                <w:sz w:val="22"/>
                <w:szCs w:val="22"/>
              </w:rPr>
              <w:t>4</w:t>
            </w:r>
            <w:r w:rsidRPr="003B02C1">
              <w:rPr>
                <w:rFonts w:ascii="Arial" w:hAnsi="Arial" w:cs="Arial"/>
                <w:b w:val="0"/>
                <w:color w:val="000000" w:themeColor="text1"/>
                <w:sz w:val="22"/>
                <w:szCs w:val="22"/>
              </w:rPr>
              <w:t xml:space="preserve"> as shown in the Statement of Management Responsibility for Financial Statements signed by </w:t>
            </w:r>
            <w:r w:rsidR="000870CB" w:rsidRPr="003B02C1">
              <w:rPr>
                <w:rFonts w:ascii="Arial" w:hAnsi="Arial" w:cs="Arial"/>
                <w:b w:val="0"/>
                <w:color w:val="000000" w:themeColor="text1"/>
                <w:sz w:val="22"/>
                <w:szCs w:val="22"/>
              </w:rPr>
              <w:t xml:space="preserve">Ramel F. </w:t>
            </w:r>
            <w:proofErr w:type="spellStart"/>
            <w:r w:rsidR="000870CB" w:rsidRPr="003B02C1">
              <w:rPr>
                <w:rFonts w:ascii="Arial" w:hAnsi="Arial" w:cs="Arial"/>
                <w:b w:val="0"/>
                <w:color w:val="000000" w:themeColor="text1"/>
                <w:sz w:val="22"/>
                <w:szCs w:val="22"/>
              </w:rPr>
              <w:t>Jamen</w:t>
            </w:r>
            <w:proofErr w:type="spellEnd"/>
            <w:r w:rsidRPr="003B02C1">
              <w:rPr>
                <w:rFonts w:ascii="Arial" w:hAnsi="Arial" w:cs="Arial"/>
                <w:b w:val="0"/>
                <w:color w:val="000000" w:themeColor="text1"/>
                <w:sz w:val="22"/>
                <w:szCs w:val="22"/>
              </w:rPr>
              <w:t>, the Regional Director.</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384CC5">
            <w:pPr>
              <w:numPr>
                <w:ilvl w:val="1"/>
                <w:numId w:val="9"/>
              </w:numPr>
              <w:tabs>
                <w:tab w:val="num" w:pos="1080"/>
              </w:tabs>
              <w:ind w:left="1080" w:hanging="720"/>
              <w:jc w:val="both"/>
              <w:rPr>
                <w:rFonts w:ascii="Arial" w:hAnsi="Arial" w:cs="Arial"/>
                <w:b w:val="0"/>
                <w:bCs w:val="0"/>
                <w:color w:val="000000" w:themeColor="text1"/>
                <w:sz w:val="22"/>
                <w:szCs w:val="22"/>
              </w:rPr>
            </w:pPr>
            <w:r w:rsidRPr="003B02C1">
              <w:rPr>
                <w:rFonts w:ascii="Arial" w:hAnsi="Arial" w:cs="Arial"/>
                <w:b w:val="0"/>
                <w:bCs w:val="0"/>
                <w:color w:val="000000" w:themeColor="text1"/>
                <w:sz w:val="22"/>
                <w:szCs w:val="22"/>
              </w:rPr>
              <w:t>Programs/Projects/Activities</w:t>
            </w:r>
          </w:p>
          <w:p w:rsidR="00384CC5" w:rsidRPr="003B02C1" w:rsidRDefault="00384CC5" w:rsidP="00B2476A">
            <w:pPr>
              <w:jc w:val="both"/>
              <w:rPr>
                <w:rFonts w:ascii="Arial" w:hAnsi="Arial" w:cs="Arial"/>
                <w:b w:val="0"/>
                <w:color w:val="000000" w:themeColor="text1"/>
                <w:sz w:val="22"/>
                <w:szCs w:val="22"/>
              </w:rPr>
            </w:pPr>
          </w:p>
          <w:p w:rsidR="00E33F3F" w:rsidRPr="00E33F3F" w:rsidRDefault="00384CC5" w:rsidP="00E33F3F">
            <w:pPr>
              <w:numPr>
                <w:ilvl w:val="0"/>
                <w:numId w:val="12"/>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Foreign Assisted Program</w:t>
            </w:r>
          </w:p>
          <w:p w:rsidR="00E33F3F" w:rsidRPr="003B02C1" w:rsidRDefault="00E33F3F" w:rsidP="00B2476A">
            <w:pPr>
              <w:jc w:val="both"/>
              <w:rPr>
                <w:rFonts w:ascii="Arial" w:eastAsia="Arial" w:hAnsi="Arial" w:cs="Arial"/>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 xml:space="preserve">United Nations Children’s Fund (UNICEF) Emergency Unconditional Cash Transfer (EUCT) </w:t>
            </w:r>
            <w:r w:rsidRPr="003B02C1">
              <w:rPr>
                <w:rFonts w:ascii="Arial" w:eastAsia="Arial" w:hAnsi="Arial" w:cs="Arial"/>
                <w:b w:val="0"/>
                <w:color w:val="000000" w:themeColor="text1"/>
                <w:sz w:val="22"/>
                <w:szCs w:val="22"/>
              </w:rPr>
              <w:t>to Typhoon Yolanda Affected Population in Eastern Samar.</w:t>
            </w:r>
          </w:p>
          <w:p w:rsidR="00384CC5" w:rsidRPr="003B02C1" w:rsidRDefault="00384CC5" w:rsidP="00B2476A">
            <w:pPr>
              <w:ind w:left="1440"/>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UNFPA 7</w:t>
            </w:r>
            <w:r w:rsidRPr="003B02C1">
              <w:rPr>
                <w:rFonts w:ascii="Arial" w:eastAsia="Arial" w:hAnsi="Arial" w:cs="Arial"/>
                <w:b w:val="0"/>
                <w:bCs w:val="0"/>
                <w:color w:val="000000" w:themeColor="text1"/>
                <w:sz w:val="22"/>
                <w:szCs w:val="22"/>
                <w:vertAlign w:val="superscript"/>
              </w:rPr>
              <w:t>th</w:t>
            </w:r>
            <w:r w:rsidRPr="003B02C1">
              <w:rPr>
                <w:rFonts w:ascii="Arial" w:eastAsia="Arial" w:hAnsi="Arial" w:cs="Arial"/>
                <w:b w:val="0"/>
                <w:bCs w:val="0"/>
                <w:color w:val="000000" w:themeColor="text1"/>
                <w:sz w:val="22"/>
                <w:szCs w:val="22"/>
              </w:rPr>
              <w:t xml:space="preserve"> Country Programme (PHL7U505) – </w:t>
            </w:r>
            <w:r w:rsidRPr="003B02C1">
              <w:rPr>
                <w:rFonts w:ascii="Arial" w:eastAsia="Arial" w:hAnsi="Arial" w:cs="Arial"/>
                <w:b w:val="0"/>
                <w:color w:val="000000" w:themeColor="text1"/>
                <w:sz w:val="22"/>
                <w:szCs w:val="22"/>
              </w:rPr>
              <w:t>This is a cash assistance / support from UNFPA for increasing capacity of NGAs and LGUs to undertake Gender-Responsive Programming to implement Magna Carta of Women Provisions especially on Reproductive Rights and Gender-Based Violence. The expected output of the 7</w:t>
            </w:r>
            <w:r w:rsidRPr="003B02C1">
              <w:rPr>
                <w:rFonts w:ascii="Arial" w:eastAsia="Arial" w:hAnsi="Arial" w:cs="Arial"/>
                <w:b w:val="0"/>
                <w:color w:val="000000" w:themeColor="text1"/>
                <w:sz w:val="22"/>
                <w:szCs w:val="22"/>
                <w:vertAlign w:val="superscript"/>
              </w:rPr>
              <w:t>th</w:t>
            </w:r>
            <w:r w:rsidRPr="003B02C1">
              <w:rPr>
                <w:rFonts w:ascii="Arial" w:eastAsia="Arial" w:hAnsi="Arial" w:cs="Arial"/>
                <w:b w:val="0"/>
                <w:color w:val="000000" w:themeColor="text1"/>
                <w:sz w:val="22"/>
                <w:szCs w:val="22"/>
              </w:rPr>
              <w:t xml:space="preserve"> Country Programme is the capacity of the government to protect, fulfill, and promote the rights of women and girls, especially the marginalized and </w:t>
            </w:r>
            <w:r w:rsidRPr="003B02C1">
              <w:rPr>
                <w:rFonts w:ascii="Arial" w:eastAsia="Arial" w:hAnsi="Arial" w:cs="Arial"/>
                <w:b w:val="0"/>
                <w:color w:val="000000" w:themeColor="text1"/>
                <w:sz w:val="22"/>
                <w:szCs w:val="22"/>
              </w:rPr>
              <w:lastRenderedPageBreak/>
              <w:t>mechanisms and/or legal remedies for the protection of women’s and girl’s rights in place and functional.</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 xml:space="preserve">United Nations World Food Programme - </w:t>
            </w:r>
            <w:r w:rsidRPr="003B02C1">
              <w:rPr>
                <w:rFonts w:ascii="Arial" w:eastAsia="Arial" w:hAnsi="Arial" w:cs="Arial"/>
                <w:b w:val="0"/>
                <w:color w:val="000000" w:themeColor="text1"/>
                <w:sz w:val="22"/>
                <w:szCs w:val="22"/>
              </w:rPr>
              <w:t>Development of the Framework and Early Warning System on Hunger and Food Insecurity Mitigation and Strengthening the Social Protection and Social Welfare and Development Programs of DSWD, Harnessing Social Media for Hunger and Food Insecurity Mitigation, and Strengthening the Social Protection and Social Welfare and Development Programs.</w:t>
            </w:r>
          </w:p>
          <w:p w:rsidR="00384CC5" w:rsidRPr="003B02C1" w:rsidRDefault="00384CC5" w:rsidP="00B2476A">
            <w:pPr>
              <w:ind w:left="1440"/>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UN World Food Programme –</w:t>
            </w:r>
            <w:r w:rsidRPr="003B02C1">
              <w:rPr>
                <w:rFonts w:ascii="Arial" w:eastAsia="Arial" w:hAnsi="Arial" w:cs="Arial"/>
                <w:b w:val="0"/>
                <w:color w:val="000000" w:themeColor="text1"/>
                <w:sz w:val="22"/>
                <w:szCs w:val="22"/>
              </w:rPr>
              <w:t xml:space="preserve"> emergency cash distribution for the assistance of Typhoon Yolanda victims through the emergency cash transfer (ECT) Top-up Project for additional emergency cash grants to qualified beneficiaries of the </w:t>
            </w:r>
            <w:proofErr w:type="spellStart"/>
            <w:r w:rsidRPr="003B02C1">
              <w:rPr>
                <w:rFonts w:ascii="Arial" w:eastAsia="Arial" w:hAnsi="Arial" w:cs="Arial"/>
                <w:b w:val="0"/>
                <w:color w:val="000000" w:themeColor="text1"/>
                <w:sz w:val="22"/>
                <w:szCs w:val="22"/>
              </w:rPr>
              <w:t>Pantawid</w:t>
            </w:r>
            <w:proofErr w:type="spellEnd"/>
            <w:r w:rsidRPr="003B02C1">
              <w:rPr>
                <w:rFonts w:ascii="Arial" w:eastAsia="Arial" w:hAnsi="Arial" w:cs="Arial"/>
                <w:b w:val="0"/>
                <w:color w:val="000000" w:themeColor="text1"/>
                <w:sz w:val="22"/>
                <w:szCs w:val="22"/>
              </w:rPr>
              <w:t xml:space="preserve"> </w:t>
            </w:r>
            <w:proofErr w:type="spellStart"/>
            <w:r w:rsidRPr="003B02C1">
              <w:rPr>
                <w:rFonts w:ascii="Arial" w:eastAsia="Arial" w:hAnsi="Arial" w:cs="Arial"/>
                <w:b w:val="0"/>
                <w:color w:val="000000" w:themeColor="text1"/>
                <w:sz w:val="22"/>
                <w:szCs w:val="22"/>
              </w:rPr>
              <w:t>Pamilyang</w:t>
            </w:r>
            <w:proofErr w:type="spellEnd"/>
            <w:r w:rsidRPr="003B02C1">
              <w:rPr>
                <w:rFonts w:ascii="Arial" w:eastAsia="Arial" w:hAnsi="Arial" w:cs="Arial"/>
                <w:b w:val="0"/>
                <w:color w:val="000000" w:themeColor="text1"/>
                <w:sz w:val="22"/>
                <w:szCs w:val="22"/>
              </w:rPr>
              <w:t xml:space="preserve"> Pilipino Program of the DSWD’s regular cash grants.</w:t>
            </w:r>
          </w:p>
          <w:p w:rsidR="00384CC5" w:rsidRPr="003B02C1" w:rsidRDefault="00384CC5" w:rsidP="00B2476A">
            <w:pPr>
              <w:pStyle w:val="Header"/>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ASEAN ROK (Republic of Korea) Funded Activities:</w:t>
            </w:r>
          </w:p>
          <w:p w:rsidR="00384CC5" w:rsidRPr="003B02C1" w:rsidRDefault="00384CC5" w:rsidP="00B2476A">
            <w:pPr>
              <w:pStyle w:val="Header"/>
              <w:jc w:val="both"/>
              <w:rPr>
                <w:rFonts w:ascii="Arial" w:hAnsi="Arial" w:cs="Arial"/>
                <w:b w:val="0"/>
                <w:color w:val="000000" w:themeColor="text1"/>
                <w:sz w:val="22"/>
                <w:szCs w:val="22"/>
              </w:rPr>
            </w:pPr>
          </w:p>
          <w:p w:rsidR="00384CC5" w:rsidRPr="003B02C1" w:rsidRDefault="00384CC5" w:rsidP="00384CC5">
            <w:pPr>
              <w:numPr>
                <w:ilvl w:val="1"/>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 xml:space="preserve">Working towards a Cyber Pornography and Cyber Prostitution – Free Southeast Asia – </w:t>
            </w:r>
            <w:r w:rsidRPr="003B02C1">
              <w:rPr>
                <w:rFonts w:ascii="Arial" w:eastAsia="Arial" w:hAnsi="Arial" w:cs="Arial"/>
                <w:b w:val="0"/>
                <w:color w:val="000000" w:themeColor="text1"/>
                <w:sz w:val="22"/>
                <w:szCs w:val="22"/>
              </w:rPr>
              <w:t>project funded by ASEAN through the Republic of Korea (ROK) - Special Cooperation Fund (ASEAN ROK). The project aims to educate the public on how computer technology and the internet contribute to the proliferation of cyber pornography and cyber prostitution. At the same time, it also supports the capability of frontline workers to effectively and efficiently deal with the victim-survivors of the phenomena.</w:t>
            </w:r>
          </w:p>
          <w:p w:rsidR="00384CC5" w:rsidRPr="003B02C1" w:rsidRDefault="00384CC5" w:rsidP="00B2476A">
            <w:pPr>
              <w:pStyle w:val="Header"/>
              <w:jc w:val="both"/>
              <w:rPr>
                <w:rFonts w:ascii="Arial" w:hAnsi="Arial" w:cs="Arial"/>
                <w:b w:val="0"/>
                <w:color w:val="000000" w:themeColor="text1"/>
                <w:sz w:val="22"/>
                <w:szCs w:val="22"/>
              </w:rPr>
            </w:pPr>
          </w:p>
          <w:p w:rsidR="00384CC5" w:rsidRPr="003B02C1" w:rsidRDefault="00384CC5" w:rsidP="00384CC5">
            <w:pPr>
              <w:numPr>
                <w:ilvl w:val="1"/>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Training Workshop on Strengthening Capacities of Communities, Practitioners and Policy makers to Address Violence Against Women</w:t>
            </w:r>
          </w:p>
          <w:p w:rsidR="00384CC5" w:rsidRPr="003B02C1" w:rsidRDefault="00384CC5" w:rsidP="00B2476A">
            <w:pPr>
              <w:pStyle w:val="Header"/>
              <w:jc w:val="both"/>
              <w:rPr>
                <w:rFonts w:ascii="Arial" w:hAnsi="Arial" w:cs="Arial"/>
                <w:b w:val="0"/>
                <w:color w:val="000000" w:themeColor="text1"/>
                <w:sz w:val="22"/>
                <w:szCs w:val="22"/>
              </w:rPr>
            </w:pPr>
          </w:p>
          <w:p w:rsidR="00384CC5" w:rsidRPr="003B02C1" w:rsidRDefault="00384CC5" w:rsidP="00384CC5">
            <w:pPr>
              <w:numPr>
                <w:ilvl w:val="1"/>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Training Workshop on ASEAN Active Ageing (ACT)</w:t>
            </w:r>
          </w:p>
          <w:p w:rsidR="00384CC5" w:rsidRPr="003B02C1" w:rsidRDefault="00384CC5" w:rsidP="00B2476A">
            <w:pPr>
              <w:pStyle w:val="Header"/>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ASEAN Government of Japan (Japan ASEAN Integration Fund) Funded Activities:</w:t>
            </w:r>
          </w:p>
          <w:p w:rsidR="00384CC5" w:rsidRPr="003B02C1" w:rsidRDefault="00384CC5" w:rsidP="00B2476A">
            <w:pPr>
              <w:ind w:left="1440"/>
              <w:jc w:val="both"/>
              <w:rPr>
                <w:rFonts w:ascii="Arial" w:hAnsi="Arial" w:cs="Arial"/>
                <w:b w:val="0"/>
                <w:color w:val="000000" w:themeColor="text1"/>
                <w:sz w:val="22"/>
                <w:szCs w:val="22"/>
              </w:rPr>
            </w:pPr>
          </w:p>
          <w:p w:rsidR="00384CC5" w:rsidRPr="003B02C1" w:rsidRDefault="00384CC5" w:rsidP="00384CC5">
            <w:pPr>
              <w:numPr>
                <w:ilvl w:val="1"/>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 xml:space="preserve">ASEAN Conference for Program Evaluation for Persons with Disabilities (PWD) </w:t>
            </w:r>
            <w:r w:rsidRPr="003B02C1">
              <w:rPr>
                <w:rFonts w:ascii="Arial" w:eastAsia="Arial" w:hAnsi="Arial" w:cs="Arial"/>
                <w:b w:val="0"/>
                <w:color w:val="000000" w:themeColor="text1"/>
                <w:sz w:val="22"/>
                <w:szCs w:val="22"/>
              </w:rPr>
              <w:t>– This is to provide a venue for ASEAN member States and private organizations to have technical cooperation on best practices and experiences related to provision of auxiliary social services, to evaluate existing PWD programs in the region, to develop new strategies, documents and programs for the improvement of auxiliary social services serving PWDs, and knowledge sharing and development of capacities of development workers to provide training and technical assistance on developing and managing auxiliary services for PWDs.</w:t>
            </w:r>
          </w:p>
          <w:p w:rsidR="00384CC5" w:rsidRPr="003B02C1" w:rsidRDefault="00384CC5" w:rsidP="00B2476A">
            <w:pPr>
              <w:ind w:left="2160"/>
              <w:jc w:val="both"/>
              <w:rPr>
                <w:rFonts w:ascii="Arial" w:hAnsi="Arial" w:cs="Arial"/>
                <w:b w:val="0"/>
                <w:color w:val="000000" w:themeColor="text1"/>
                <w:sz w:val="22"/>
                <w:szCs w:val="22"/>
              </w:rPr>
            </w:pPr>
          </w:p>
          <w:p w:rsidR="00384CC5" w:rsidRPr="003B02C1" w:rsidRDefault="00384CC5" w:rsidP="00384CC5">
            <w:pPr>
              <w:numPr>
                <w:ilvl w:val="1"/>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 xml:space="preserve">Forum on the Promotion of Peace and Development for Internally Displaces Persons (IDPs) brought by Natural Disaster and Internal Conflict within a Country of the ASEAN Member States </w:t>
            </w:r>
            <w:r w:rsidRPr="003B02C1">
              <w:rPr>
                <w:rFonts w:ascii="Arial" w:eastAsia="Arial" w:hAnsi="Arial" w:cs="Arial"/>
                <w:b w:val="0"/>
                <w:color w:val="000000" w:themeColor="text1"/>
                <w:sz w:val="22"/>
                <w:szCs w:val="22"/>
              </w:rPr>
              <w:t>– This activity shall provide a venue for the participants from ten (10) ASEAN member states to learn from experiences, capacities, and approaches and policies undertaken to address IDPs and to facilitate exchange of information and knowledge in developing and implementing common framework among the ASEAN member states in the rehabilitation and resettlement of IDPs and/or enhancement of existing agreements within ASEAN in Disaster Management and Emergency Response on IDPs.</w:t>
            </w:r>
          </w:p>
          <w:p w:rsidR="00384CC5" w:rsidRPr="003B02C1" w:rsidRDefault="00384CC5" w:rsidP="00B2476A">
            <w:pPr>
              <w:ind w:left="2160"/>
              <w:jc w:val="both"/>
              <w:rPr>
                <w:rFonts w:ascii="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proofErr w:type="spellStart"/>
            <w:r w:rsidRPr="003B02C1">
              <w:rPr>
                <w:rFonts w:ascii="Arial" w:eastAsia="Arial" w:hAnsi="Arial" w:cs="Arial"/>
                <w:b w:val="0"/>
                <w:bCs w:val="0"/>
                <w:color w:val="000000" w:themeColor="text1"/>
                <w:sz w:val="22"/>
                <w:szCs w:val="22"/>
              </w:rPr>
              <w:lastRenderedPageBreak/>
              <w:t>AusAID</w:t>
            </w:r>
            <w:proofErr w:type="spellEnd"/>
            <w:r w:rsidRPr="003B02C1">
              <w:rPr>
                <w:rFonts w:ascii="Arial" w:eastAsia="Arial" w:hAnsi="Arial" w:cs="Arial"/>
                <w:b w:val="0"/>
                <w:bCs w:val="0"/>
                <w:color w:val="000000" w:themeColor="text1"/>
                <w:sz w:val="22"/>
                <w:szCs w:val="22"/>
              </w:rPr>
              <w:t xml:space="preserve"> / World Bank Grant for Preparation of the National Community Driven Development (CDD) Program </w:t>
            </w:r>
            <w:r w:rsidRPr="003B02C1">
              <w:rPr>
                <w:rFonts w:ascii="Arial" w:eastAsia="Arial" w:hAnsi="Arial" w:cs="Arial"/>
                <w:b w:val="0"/>
                <w:color w:val="000000" w:themeColor="text1"/>
                <w:sz w:val="22"/>
                <w:szCs w:val="22"/>
              </w:rPr>
              <w:t xml:space="preserve">– The Government of Australia provided this grant, with the World Bank as the administrator of funds, represented by the Australian Agency for International Development under the Australia-World Bank Philippines Development Trust Fund (TF071200). The objective of the grant is to prepare the National CDD Program, with its own objective to empower Local Communities in targeted poor municipalities and selected urban areas, to achieve improved access to sustainable basic public services and to participate in more inclusive local government planning and budgeting. The activities for which the grant is given consist of: (a) preparation analysis; (b) knowledge exchange; and (c) _program preparation facilitation and administration. </w:t>
            </w:r>
          </w:p>
          <w:p w:rsidR="00384CC5" w:rsidRPr="003B02C1" w:rsidRDefault="00384CC5" w:rsidP="00B2476A">
            <w:pPr>
              <w:jc w:val="both"/>
              <w:rPr>
                <w:rFonts w:ascii="Arial" w:eastAsia="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proofErr w:type="spellStart"/>
            <w:r w:rsidRPr="003B02C1">
              <w:rPr>
                <w:rFonts w:ascii="Arial" w:eastAsia="Arial" w:hAnsi="Arial" w:cs="Arial"/>
                <w:b w:val="0"/>
                <w:bCs w:val="0"/>
                <w:color w:val="000000" w:themeColor="text1"/>
                <w:sz w:val="22"/>
                <w:szCs w:val="22"/>
              </w:rPr>
              <w:t>AusAID</w:t>
            </w:r>
            <w:proofErr w:type="spellEnd"/>
            <w:r w:rsidRPr="003B02C1">
              <w:rPr>
                <w:rFonts w:ascii="Arial" w:eastAsia="Arial" w:hAnsi="Arial" w:cs="Arial"/>
                <w:b w:val="0"/>
                <w:bCs w:val="0"/>
                <w:color w:val="000000" w:themeColor="text1"/>
                <w:sz w:val="22"/>
                <w:szCs w:val="22"/>
              </w:rPr>
              <w:t xml:space="preserve"> / World Bank Co-financing for </w:t>
            </w:r>
            <w:proofErr w:type="spellStart"/>
            <w:r w:rsidRPr="003B02C1">
              <w:rPr>
                <w:rFonts w:ascii="Arial" w:eastAsia="Arial" w:hAnsi="Arial" w:cs="Arial"/>
                <w:b w:val="0"/>
                <w:bCs w:val="0"/>
                <w:color w:val="000000" w:themeColor="text1"/>
                <w:sz w:val="22"/>
                <w:szCs w:val="22"/>
              </w:rPr>
              <w:t>Kapitbisig</w:t>
            </w:r>
            <w:proofErr w:type="spellEnd"/>
            <w:r w:rsidRPr="003B02C1">
              <w:rPr>
                <w:rFonts w:ascii="Arial" w:eastAsia="Arial" w:hAnsi="Arial" w:cs="Arial"/>
                <w:b w:val="0"/>
                <w:bCs w:val="0"/>
                <w:color w:val="000000" w:themeColor="text1"/>
                <w:sz w:val="22"/>
                <w:szCs w:val="22"/>
              </w:rPr>
              <w:t xml:space="preserve"> Laban </w:t>
            </w:r>
            <w:proofErr w:type="spellStart"/>
            <w:r w:rsidRPr="003B02C1">
              <w:rPr>
                <w:rFonts w:ascii="Arial" w:eastAsia="Arial" w:hAnsi="Arial" w:cs="Arial"/>
                <w:b w:val="0"/>
                <w:bCs w:val="0"/>
                <w:color w:val="000000" w:themeColor="text1"/>
                <w:sz w:val="22"/>
                <w:szCs w:val="22"/>
              </w:rPr>
              <w:t>sa</w:t>
            </w:r>
            <w:proofErr w:type="spellEnd"/>
            <w:r w:rsidRPr="003B02C1">
              <w:rPr>
                <w:rFonts w:ascii="Arial" w:eastAsia="Arial" w:hAnsi="Arial" w:cs="Arial"/>
                <w:b w:val="0"/>
                <w:bCs w:val="0"/>
                <w:color w:val="000000" w:themeColor="text1"/>
                <w:sz w:val="22"/>
                <w:szCs w:val="22"/>
              </w:rPr>
              <w:t xml:space="preserve"> </w:t>
            </w:r>
            <w:proofErr w:type="spellStart"/>
            <w:r w:rsidRPr="003B02C1">
              <w:rPr>
                <w:rFonts w:ascii="Arial" w:eastAsia="Arial" w:hAnsi="Arial" w:cs="Arial"/>
                <w:b w:val="0"/>
                <w:bCs w:val="0"/>
                <w:color w:val="000000" w:themeColor="text1"/>
                <w:sz w:val="22"/>
                <w:szCs w:val="22"/>
              </w:rPr>
              <w:t>Kahirapan</w:t>
            </w:r>
            <w:proofErr w:type="spellEnd"/>
            <w:r w:rsidRPr="003B02C1">
              <w:rPr>
                <w:rFonts w:ascii="Arial" w:eastAsia="Arial" w:hAnsi="Arial" w:cs="Arial"/>
                <w:b w:val="0"/>
                <w:bCs w:val="0"/>
                <w:color w:val="000000" w:themeColor="text1"/>
                <w:sz w:val="22"/>
                <w:szCs w:val="22"/>
              </w:rPr>
              <w:t xml:space="preserve"> – Comprehensive and Integrated Delivery of Social Services (KALAHI-CIDSS) Project – </w:t>
            </w:r>
            <w:r w:rsidRPr="003B02C1">
              <w:rPr>
                <w:rFonts w:ascii="Arial" w:eastAsia="Arial" w:hAnsi="Arial" w:cs="Arial"/>
                <w:b w:val="0"/>
                <w:color w:val="000000" w:themeColor="text1"/>
                <w:sz w:val="22"/>
                <w:szCs w:val="22"/>
              </w:rPr>
              <w:t>This grant is provided by the Government of Australia, with the World Bank as the administrator of funds, represented by the Australian Agency for International Development under the Australia-World Bank Philippines Development Trust Fund. The objective of the grant is to empower local communities in targeted poor municipalities and selected urban areas, to achieve improved access to sustainable basic public services and to participate in more inclusive local government unit planning and budgeting. The specific activities to be financed by the grant are: (a) carrying out of investment sub-projects specifically related to the construction of day care centers and school buildings / classrooms to meet the needs through provision of sub-grants to barangays; (b) mobilization of community volunteers for the preparation and updating of the program of work and technical plans, as well as the mobilization of local counterpart contributions for the construction and rehabilitation of day care centers and school buildings and classrooms.</w:t>
            </w:r>
          </w:p>
          <w:p w:rsidR="00384CC5" w:rsidRPr="003B02C1" w:rsidRDefault="00384CC5" w:rsidP="00B2476A">
            <w:pPr>
              <w:jc w:val="both"/>
              <w:rPr>
                <w:rFonts w:ascii="Arial" w:eastAsia="Arial" w:hAnsi="Arial" w:cs="Arial"/>
                <w:b w:val="0"/>
                <w:color w:val="000000" w:themeColor="text1"/>
                <w:sz w:val="22"/>
                <w:szCs w:val="22"/>
              </w:rPr>
            </w:pPr>
          </w:p>
          <w:p w:rsidR="00384CC5" w:rsidRPr="003B02C1" w:rsidRDefault="00384CC5" w:rsidP="00384CC5">
            <w:pP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Government of Australia (</w:t>
            </w:r>
            <w:proofErr w:type="spellStart"/>
            <w:r w:rsidRPr="003B02C1">
              <w:rPr>
                <w:rFonts w:ascii="Arial" w:eastAsia="Arial" w:hAnsi="Arial" w:cs="Arial"/>
                <w:b w:val="0"/>
                <w:bCs w:val="0"/>
                <w:color w:val="000000" w:themeColor="text1"/>
                <w:sz w:val="22"/>
                <w:szCs w:val="22"/>
              </w:rPr>
              <w:t>GoA</w:t>
            </w:r>
            <w:proofErr w:type="spellEnd"/>
            <w:r w:rsidRPr="003B02C1">
              <w:rPr>
                <w:rFonts w:ascii="Arial" w:eastAsia="Arial" w:hAnsi="Arial" w:cs="Arial"/>
                <w:b w:val="0"/>
                <w:bCs w:val="0"/>
                <w:color w:val="000000" w:themeColor="text1"/>
                <w:sz w:val="22"/>
                <w:szCs w:val="22"/>
              </w:rPr>
              <w:t xml:space="preserve">) Department of Foreign Affairs and Trade (DFAT) </w:t>
            </w:r>
            <w:r w:rsidRPr="003B02C1">
              <w:rPr>
                <w:rFonts w:ascii="Arial" w:eastAsia="Arial" w:hAnsi="Arial" w:cs="Arial"/>
                <w:b w:val="0"/>
                <w:color w:val="000000" w:themeColor="text1"/>
                <w:sz w:val="22"/>
                <w:szCs w:val="22"/>
              </w:rPr>
              <w:t xml:space="preserve">(formerly </w:t>
            </w:r>
            <w:proofErr w:type="spellStart"/>
            <w:r w:rsidRPr="003B02C1">
              <w:rPr>
                <w:rFonts w:ascii="Arial" w:eastAsia="Arial" w:hAnsi="Arial" w:cs="Arial"/>
                <w:b w:val="0"/>
                <w:color w:val="000000" w:themeColor="text1"/>
                <w:sz w:val="22"/>
                <w:szCs w:val="22"/>
              </w:rPr>
              <w:t>AusAID</w:t>
            </w:r>
            <w:proofErr w:type="spellEnd"/>
            <w:r w:rsidRPr="003B02C1">
              <w:rPr>
                <w:rFonts w:ascii="Arial" w:eastAsia="Arial" w:hAnsi="Arial" w:cs="Arial"/>
                <w:b w:val="0"/>
                <w:color w:val="000000" w:themeColor="text1"/>
                <w:sz w:val="22"/>
                <w:szCs w:val="22"/>
              </w:rPr>
              <w:t>)</w:t>
            </w:r>
            <w:r w:rsidRPr="003B02C1">
              <w:rPr>
                <w:rFonts w:ascii="Arial" w:eastAsia="Arial" w:hAnsi="Arial" w:cs="Arial"/>
                <w:b w:val="0"/>
                <w:bCs w:val="0"/>
                <w:color w:val="000000" w:themeColor="text1"/>
                <w:sz w:val="22"/>
                <w:szCs w:val="22"/>
              </w:rPr>
              <w:t xml:space="preserve"> Technical Assistance Unit of Social Welfare and Development for the Social Protection Reform TA Facility (Agreement Number 58809) - </w:t>
            </w:r>
            <w:r w:rsidRPr="003B02C1">
              <w:rPr>
                <w:rFonts w:ascii="Arial" w:eastAsia="Arial" w:hAnsi="Arial" w:cs="Arial"/>
                <w:b w:val="0"/>
                <w:color w:val="000000" w:themeColor="text1"/>
                <w:sz w:val="22"/>
                <w:szCs w:val="22"/>
              </w:rPr>
              <w:t>grant funded by Australian Government for DSWD TA Facility as a mechanism for planning, assessing, prioritizing, coordinating and monitoring all donor-supported TA activities relating to DSWD’s social protection reform agenda.</w:t>
            </w:r>
          </w:p>
          <w:p w:rsidR="00384CC5" w:rsidRPr="003B02C1" w:rsidRDefault="00384CC5" w:rsidP="00B2476A">
            <w:pPr>
              <w:pStyle w:val="Header"/>
              <w:jc w:val="both"/>
              <w:rPr>
                <w:rFonts w:ascii="Arial" w:eastAsia="Arial" w:hAnsi="Arial" w:cs="Arial"/>
                <w:b w:val="0"/>
                <w:color w:val="000000" w:themeColor="text1"/>
                <w:sz w:val="22"/>
                <w:szCs w:val="22"/>
              </w:rPr>
            </w:pPr>
          </w:p>
          <w:p w:rsidR="00384CC5" w:rsidRPr="003B02C1" w:rsidRDefault="00384CC5" w:rsidP="00384CC5">
            <w:pPr>
              <w:pStyle w:val="Header"/>
              <w:numPr>
                <w:ilvl w:val="0"/>
                <w:numId w:val="13"/>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Government of Australia (</w:t>
            </w:r>
            <w:proofErr w:type="spellStart"/>
            <w:r w:rsidRPr="003B02C1">
              <w:rPr>
                <w:rFonts w:ascii="Arial" w:eastAsia="Arial" w:hAnsi="Arial" w:cs="Arial"/>
                <w:b w:val="0"/>
                <w:bCs w:val="0"/>
                <w:color w:val="000000" w:themeColor="text1"/>
                <w:sz w:val="22"/>
                <w:szCs w:val="22"/>
              </w:rPr>
              <w:t>GoA</w:t>
            </w:r>
            <w:proofErr w:type="spellEnd"/>
            <w:r w:rsidRPr="003B02C1">
              <w:rPr>
                <w:rFonts w:ascii="Arial" w:eastAsia="Arial" w:hAnsi="Arial" w:cs="Arial"/>
                <w:b w:val="0"/>
                <w:bCs w:val="0"/>
                <w:color w:val="000000" w:themeColor="text1"/>
                <w:sz w:val="22"/>
                <w:szCs w:val="22"/>
              </w:rPr>
              <w:t xml:space="preserve">) Department of Foreign Affairs and Trade (DFAT) </w:t>
            </w:r>
            <w:r w:rsidRPr="003B02C1">
              <w:rPr>
                <w:rFonts w:ascii="Arial" w:eastAsia="Arial" w:hAnsi="Arial" w:cs="Arial"/>
                <w:b w:val="0"/>
                <w:color w:val="000000" w:themeColor="text1"/>
                <w:sz w:val="22"/>
                <w:szCs w:val="22"/>
              </w:rPr>
              <w:t xml:space="preserve">(formerly </w:t>
            </w:r>
            <w:proofErr w:type="spellStart"/>
            <w:r w:rsidRPr="003B02C1">
              <w:rPr>
                <w:rFonts w:ascii="Arial" w:eastAsia="Arial" w:hAnsi="Arial" w:cs="Arial"/>
                <w:b w:val="0"/>
                <w:color w:val="000000" w:themeColor="text1"/>
                <w:sz w:val="22"/>
                <w:szCs w:val="22"/>
              </w:rPr>
              <w:t>AusAID</w:t>
            </w:r>
            <w:proofErr w:type="spellEnd"/>
            <w:r w:rsidRPr="003B02C1">
              <w:rPr>
                <w:rFonts w:ascii="Arial" w:eastAsia="Arial" w:hAnsi="Arial" w:cs="Arial"/>
                <w:b w:val="0"/>
                <w:color w:val="000000" w:themeColor="text1"/>
                <w:sz w:val="22"/>
                <w:szCs w:val="22"/>
              </w:rPr>
              <w:t>)</w:t>
            </w:r>
            <w:r w:rsidRPr="003B02C1">
              <w:rPr>
                <w:rFonts w:ascii="Arial" w:eastAsia="Arial" w:hAnsi="Arial" w:cs="Arial"/>
                <w:b w:val="0"/>
                <w:bCs w:val="0"/>
                <w:color w:val="000000" w:themeColor="text1"/>
                <w:sz w:val="22"/>
                <w:szCs w:val="22"/>
              </w:rPr>
              <w:t xml:space="preserve"> Assistance on the Provision of Training Program on Bridging Leadership for Convergence (Agreement Number 61692) – </w:t>
            </w:r>
            <w:r w:rsidRPr="003B02C1">
              <w:rPr>
                <w:rFonts w:ascii="Arial" w:eastAsia="Arial" w:hAnsi="Arial" w:cs="Arial"/>
                <w:b w:val="0"/>
                <w:color w:val="000000" w:themeColor="text1"/>
                <w:sz w:val="22"/>
                <w:szCs w:val="22"/>
              </w:rPr>
              <w:t xml:space="preserve">This is an accountable cash grant funded by the Government of Australia for the assistance regarding the provision of a training program on bridging leadership for convergence for the Department. Said training program shall assist field implementers strengthen their knowledge, skills, and aptitudes for creating and implementing collaborative action among the three core social protection programs of the Department; the </w:t>
            </w:r>
            <w:proofErr w:type="spellStart"/>
            <w:r w:rsidRPr="003B02C1">
              <w:rPr>
                <w:rFonts w:ascii="Arial" w:eastAsia="Arial" w:hAnsi="Arial" w:cs="Arial"/>
                <w:b w:val="0"/>
                <w:color w:val="000000" w:themeColor="text1"/>
                <w:sz w:val="22"/>
                <w:szCs w:val="22"/>
              </w:rPr>
              <w:t>Pantawid</w:t>
            </w:r>
            <w:proofErr w:type="spellEnd"/>
            <w:r w:rsidRPr="003B02C1">
              <w:rPr>
                <w:rFonts w:ascii="Arial" w:eastAsia="Arial" w:hAnsi="Arial" w:cs="Arial"/>
                <w:b w:val="0"/>
                <w:color w:val="000000" w:themeColor="text1"/>
                <w:sz w:val="22"/>
                <w:szCs w:val="22"/>
              </w:rPr>
              <w:t xml:space="preserve"> </w:t>
            </w:r>
            <w:proofErr w:type="spellStart"/>
            <w:r w:rsidRPr="003B02C1">
              <w:rPr>
                <w:rFonts w:ascii="Arial" w:eastAsia="Arial" w:hAnsi="Arial" w:cs="Arial"/>
                <w:b w:val="0"/>
                <w:color w:val="000000" w:themeColor="text1"/>
                <w:sz w:val="22"/>
                <w:szCs w:val="22"/>
              </w:rPr>
              <w:t>Pamilya</w:t>
            </w:r>
            <w:proofErr w:type="spellEnd"/>
            <w:r w:rsidRPr="003B02C1">
              <w:rPr>
                <w:rFonts w:ascii="Arial" w:eastAsia="Arial" w:hAnsi="Arial" w:cs="Arial"/>
                <w:b w:val="0"/>
                <w:color w:val="000000" w:themeColor="text1"/>
                <w:sz w:val="22"/>
                <w:szCs w:val="22"/>
              </w:rPr>
              <w:t>, KALAHI-CIDSS, and the SEA-K to maximize their impact on poverty reduction.</w:t>
            </w:r>
          </w:p>
          <w:p w:rsidR="00384CC5" w:rsidRPr="003B02C1" w:rsidRDefault="00384CC5" w:rsidP="00B2476A">
            <w:pPr>
              <w:jc w:val="both"/>
              <w:rPr>
                <w:rFonts w:ascii="Arial" w:eastAsia="Arial" w:hAnsi="Arial" w:cs="Arial"/>
                <w:b w:val="0"/>
                <w:color w:val="000000" w:themeColor="text1"/>
                <w:sz w:val="22"/>
                <w:szCs w:val="22"/>
              </w:rPr>
            </w:pPr>
          </w:p>
          <w:p w:rsidR="00384CC5" w:rsidRPr="003B02C1" w:rsidRDefault="00384CC5" w:rsidP="00384CC5">
            <w:pPr>
              <w:pStyle w:val="Header"/>
              <w:numPr>
                <w:ilvl w:val="0"/>
                <w:numId w:val="14"/>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Government of Australia (</w:t>
            </w:r>
            <w:proofErr w:type="spellStart"/>
            <w:r w:rsidRPr="003B02C1">
              <w:rPr>
                <w:rFonts w:ascii="Arial" w:eastAsia="Arial" w:hAnsi="Arial" w:cs="Arial"/>
                <w:b w:val="0"/>
                <w:bCs w:val="0"/>
                <w:color w:val="000000" w:themeColor="text1"/>
                <w:sz w:val="22"/>
                <w:szCs w:val="22"/>
              </w:rPr>
              <w:t>GoA</w:t>
            </w:r>
            <w:proofErr w:type="spellEnd"/>
            <w:r w:rsidRPr="003B02C1">
              <w:rPr>
                <w:rFonts w:ascii="Arial" w:eastAsia="Arial" w:hAnsi="Arial" w:cs="Arial"/>
                <w:b w:val="0"/>
                <w:bCs w:val="0"/>
                <w:color w:val="000000" w:themeColor="text1"/>
                <w:sz w:val="22"/>
                <w:szCs w:val="22"/>
              </w:rPr>
              <w:t xml:space="preserve">) Department of Foreign Affairs and Trade (DFAT) </w:t>
            </w:r>
            <w:r w:rsidRPr="003B02C1">
              <w:rPr>
                <w:rFonts w:ascii="Arial" w:eastAsia="Arial" w:hAnsi="Arial" w:cs="Arial"/>
                <w:b w:val="0"/>
                <w:color w:val="000000" w:themeColor="text1"/>
                <w:sz w:val="22"/>
                <w:szCs w:val="22"/>
              </w:rPr>
              <w:t xml:space="preserve">(formerly </w:t>
            </w:r>
            <w:proofErr w:type="spellStart"/>
            <w:r w:rsidRPr="003B02C1">
              <w:rPr>
                <w:rFonts w:ascii="Arial" w:eastAsia="Arial" w:hAnsi="Arial" w:cs="Arial"/>
                <w:b w:val="0"/>
                <w:color w:val="000000" w:themeColor="text1"/>
                <w:sz w:val="22"/>
                <w:szCs w:val="22"/>
              </w:rPr>
              <w:t>AusAID</w:t>
            </w:r>
            <w:proofErr w:type="spellEnd"/>
            <w:r w:rsidRPr="003B02C1">
              <w:rPr>
                <w:rFonts w:ascii="Arial" w:eastAsia="Arial" w:hAnsi="Arial" w:cs="Arial"/>
                <w:b w:val="0"/>
                <w:color w:val="000000" w:themeColor="text1"/>
                <w:sz w:val="22"/>
                <w:szCs w:val="22"/>
              </w:rPr>
              <w:t>)</w:t>
            </w:r>
            <w:r w:rsidRPr="003B02C1">
              <w:rPr>
                <w:rFonts w:ascii="Arial" w:eastAsia="Arial" w:hAnsi="Arial" w:cs="Arial"/>
                <w:b w:val="0"/>
                <w:bCs w:val="0"/>
                <w:color w:val="000000" w:themeColor="text1"/>
                <w:sz w:val="22"/>
                <w:szCs w:val="22"/>
              </w:rPr>
              <w:t xml:space="preserve"> Assistance for Enhancing Conditional Cash Transfer Program Graduation Strategy for Exiting Beneficiaries (Agreement Number 65843) </w:t>
            </w:r>
            <w:r w:rsidRPr="003B02C1">
              <w:rPr>
                <w:rFonts w:ascii="Arial" w:eastAsia="Arial" w:hAnsi="Arial" w:cs="Arial"/>
                <w:b w:val="0"/>
                <w:color w:val="000000" w:themeColor="text1"/>
                <w:sz w:val="22"/>
                <w:szCs w:val="22"/>
              </w:rPr>
              <w:t xml:space="preserve">– This is an accountable cash grant funded by the Government of Australia to assist the Government of the Philippines. The assistance has the overarching goal to strengthen the graduation strategy for CCT beneficiaries through the Sustainable </w:t>
            </w:r>
            <w:r w:rsidRPr="003B02C1">
              <w:rPr>
                <w:rFonts w:ascii="Arial" w:eastAsia="Arial" w:hAnsi="Arial" w:cs="Arial"/>
                <w:b w:val="0"/>
                <w:color w:val="000000" w:themeColor="text1"/>
                <w:sz w:val="22"/>
                <w:szCs w:val="22"/>
              </w:rPr>
              <w:lastRenderedPageBreak/>
              <w:t>Livelihood Program which aims to reduce income poverty in areas with a high concentration of CCT program beneficiaries.</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384CC5">
            <w:pPr>
              <w:pStyle w:val="Header"/>
              <w:numPr>
                <w:ilvl w:val="0"/>
                <w:numId w:val="14"/>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Government of Australia (</w:t>
            </w:r>
            <w:proofErr w:type="spellStart"/>
            <w:r w:rsidRPr="003B02C1">
              <w:rPr>
                <w:rFonts w:ascii="Arial" w:eastAsia="Arial" w:hAnsi="Arial" w:cs="Arial"/>
                <w:b w:val="0"/>
                <w:bCs w:val="0"/>
                <w:color w:val="000000" w:themeColor="text1"/>
                <w:sz w:val="22"/>
                <w:szCs w:val="22"/>
              </w:rPr>
              <w:t>GoA</w:t>
            </w:r>
            <w:proofErr w:type="spellEnd"/>
            <w:r w:rsidRPr="003B02C1">
              <w:rPr>
                <w:rFonts w:ascii="Arial" w:eastAsia="Arial" w:hAnsi="Arial" w:cs="Arial"/>
                <w:b w:val="0"/>
                <w:bCs w:val="0"/>
                <w:color w:val="000000" w:themeColor="text1"/>
                <w:sz w:val="22"/>
                <w:szCs w:val="22"/>
              </w:rPr>
              <w:t xml:space="preserve">) Department of Foreign Affairs and Trade (DFAT) </w:t>
            </w:r>
            <w:r w:rsidRPr="003B02C1">
              <w:rPr>
                <w:rFonts w:ascii="Arial" w:eastAsia="Arial" w:hAnsi="Arial" w:cs="Arial"/>
                <w:b w:val="0"/>
                <w:color w:val="000000" w:themeColor="text1"/>
                <w:sz w:val="22"/>
                <w:szCs w:val="22"/>
              </w:rPr>
              <w:t xml:space="preserve">(formerly </w:t>
            </w:r>
            <w:proofErr w:type="spellStart"/>
            <w:r w:rsidRPr="003B02C1">
              <w:rPr>
                <w:rFonts w:ascii="Arial" w:eastAsia="Arial" w:hAnsi="Arial" w:cs="Arial"/>
                <w:b w:val="0"/>
                <w:color w:val="000000" w:themeColor="text1"/>
                <w:sz w:val="22"/>
                <w:szCs w:val="22"/>
              </w:rPr>
              <w:t>AusAID</w:t>
            </w:r>
            <w:proofErr w:type="spellEnd"/>
            <w:r w:rsidRPr="003B02C1">
              <w:rPr>
                <w:rFonts w:ascii="Arial" w:eastAsia="Arial" w:hAnsi="Arial" w:cs="Arial"/>
                <w:b w:val="0"/>
                <w:color w:val="000000" w:themeColor="text1"/>
                <w:sz w:val="22"/>
                <w:szCs w:val="22"/>
              </w:rPr>
              <w:t xml:space="preserve">) Agreement No 69734 -  This is an accountable cash grant funded by the Government of Australia to assist the Government of the Philippines in the Enhancement of </w:t>
            </w:r>
            <w:proofErr w:type="spellStart"/>
            <w:r w:rsidRPr="003B02C1">
              <w:rPr>
                <w:rFonts w:ascii="Arial" w:eastAsia="Arial" w:hAnsi="Arial" w:cs="Arial"/>
                <w:b w:val="0"/>
                <w:color w:val="000000" w:themeColor="text1"/>
                <w:sz w:val="22"/>
                <w:szCs w:val="22"/>
              </w:rPr>
              <w:t>Pantawid</w:t>
            </w:r>
            <w:proofErr w:type="spellEnd"/>
            <w:r w:rsidRPr="003B02C1">
              <w:rPr>
                <w:rFonts w:ascii="Arial" w:eastAsia="Arial" w:hAnsi="Arial" w:cs="Arial"/>
                <w:b w:val="0"/>
                <w:color w:val="000000" w:themeColor="text1"/>
                <w:sz w:val="22"/>
                <w:szCs w:val="22"/>
              </w:rPr>
              <w:t xml:space="preserve"> </w:t>
            </w:r>
            <w:proofErr w:type="spellStart"/>
            <w:r w:rsidRPr="003B02C1">
              <w:rPr>
                <w:rFonts w:ascii="Arial" w:eastAsia="Arial" w:hAnsi="Arial" w:cs="Arial"/>
                <w:b w:val="0"/>
                <w:color w:val="000000" w:themeColor="text1"/>
                <w:sz w:val="22"/>
                <w:szCs w:val="22"/>
              </w:rPr>
              <w:t>Pamilya</w:t>
            </w:r>
            <w:proofErr w:type="spellEnd"/>
            <w:r w:rsidRPr="003B02C1">
              <w:rPr>
                <w:rFonts w:ascii="Arial" w:eastAsia="Arial" w:hAnsi="Arial" w:cs="Arial"/>
                <w:b w:val="0"/>
                <w:color w:val="000000" w:themeColor="text1"/>
                <w:sz w:val="22"/>
                <w:szCs w:val="22"/>
              </w:rPr>
              <w:t xml:space="preserve"> Social Accountability.</w:t>
            </w:r>
          </w:p>
          <w:p w:rsidR="00384CC5" w:rsidRPr="003B02C1" w:rsidRDefault="00384CC5" w:rsidP="00B2476A">
            <w:pPr>
              <w:ind w:hanging="360"/>
              <w:jc w:val="both"/>
              <w:rPr>
                <w:rFonts w:ascii="Arial" w:hAnsi="Arial" w:cs="Arial"/>
                <w:b w:val="0"/>
                <w:color w:val="000000" w:themeColor="text1"/>
                <w:sz w:val="22"/>
                <w:szCs w:val="22"/>
              </w:rPr>
            </w:pPr>
          </w:p>
          <w:p w:rsidR="00384CC5" w:rsidRPr="003B02C1" w:rsidRDefault="00384CC5" w:rsidP="00384CC5">
            <w:pPr>
              <w:numPr>
                <w:ilvl w:val="0"/>
                <w:numId w:val="14"/>
              </w:numPr>
              <w:jc w:val="both"/>
              <w:rPr>
                <w:rFonts w:ascii="Arial" w:eastAsia="Arial" w:hAnsi="Arial" w:cs="Arial"/>
                <w:b w:val="0"/>
                <w:color w:val="000000" w:themeColor="text1"/>
                <w:sz w:val="22"/>
                <w:szCs w:val="22"/>
              </w:rPr>
            </w:pPr>
            <w:r w:rsidRPr="003B02C1">
              <w:rPr>
                <w:rFonts w:ascii="Arial" w:eastAsia="Arial" w:hAnsi="Arial" w:cs="Arial"/>
                <w:b w:val="0"/>
                <w:bCs w:val="0"/>
                <w:color w:val="000000" w:themeColor="text1"/>
                <w:sz w:val="22"/>
                <w:szCs w:val="22"/>
              </w:rPr>
              <w:t>Government of Australia (</w:t>
            </w:r>
            <w:proofErr w:type="spellStart"/>
            <w:r w:rsidRPr="003B02C1">
              <w:rPr>
                <w:rFonts w:ascii="Arial" w:eastAsia="Arial" w:hAnsi="Arial" w:cs="Arial"/>
                <w:b w:val="0"/>
                <w:bCs w:val="0"/>
                <w:color w:val="000000" w:themeColor="text1"/>
                <w:sz w:val="22"/>
                <w:szCs w:val="22"/>
              </w:rPr>
              <w:t>GoA</w:t>
            </w:r>
            <w:proofErr w:type="spellEnd"/>
            <w:r w:rsidRPr="003B02C1">
              <w:rPr>
                <w:rFonts w:ascii="Arial" w:eastAsia="Arial" w:hAnsi="Arial" w:cs="Arial"/>
                <w:b w:val="0"/>
                <w:bCs w:val="0"/>
                <w:color w:val="000000" w:themeColor="text1"/>
                <w:sz w:val="22"/>
                <w:szCs w:val="22"/>
              </w:rPr>
              <w:t xml:space="preserve">) Department of Foreign Affairs and Trade (DFAT) </w:t>
            </w:r>
            <w:r w:rsidRPr="003B02C1">
              <w:rPr>
                <w:rFonts w:ascii="Arial" w:eastAsia="Arial" w:hAnsi="Arial" w:cs="Arial"/>
                <w:b w:val="0"/>
                <w:color w:val="000000" w:themeColor="text1"/>
                <w:sz w:val="22"/>
                <w:szCs w:val="22"/>
              </w:rPr>
              <w:t xml:space="preserve">(formerly </w:t>
            </w:r>
            <w:proofErr w:type="spellStart"/>
            <w:r w:rsidRPr="003B02C1">
              <w:rPr>
                <w:rFonts w:ascii="Arial" w:eastAsia="Arial" w:hAnsi="Arial" w:cs="Arial"/>
                <w:b w:val="0"/>
                <w:color w:val="000000" w:themeColor="text1"/>
                <w:sz w:val="22"/>
                <w:szCs w:val="22"/>
              </w:rPr>
              <w:t>AusAID</w:t>
            </w:r>
            <w:proofErr w:type="spellEnd"/>
            <w:r w:rsidRPr="003B02C1">
              <w:rPr>
                <w:rFonts w:ascii="Arial" w:eastAsia="Arial" w:hAnsi="Arial" w:cs="Arial"/>
                <w:b w:val="0"/>
                <w:color w:val="000000" w:themeColor="text1"/>
                <w:sz w:val="22"/>
                <w:szCs w:val="22"/>
              </w:rPr>
              <w:t>)</w:t>
            </w:r>
            <w:r w:rsidRPr="003B02C1">
              <w:rPr>
                <w:rFonts w:ascii="Arial" w:eastAsia="Arial" w:hAnsi="Arial" w:cs="Arial"/>
                <w:b w:val="0"/>
                <w:bCs w:val="0"/>
                <w:color w:val="000000" w:themeColor="text1"/>
                <w:sz w:val="22"/>
                <w:szCs w:val="22"/>
              </w:rPr>
              <w:t xml:space="preserve"> Agreement No 70184 - </w:t>
            </w:r>
            <w:r w:rsidRPr="003B02C1">
              <w:rPr>
                <w:rFonts w:ascii="Arial" w:eastAsia="Arial" w:hAnsi="Arial" w:cs="Arial"/>
                <w:b w:val="0"/>
                <w:color w:val="000000" w:themeColor="text1"/>
                <w:sz w:val="22"/>
                <w:szCs w:val="22"/>
              </w:rPr>
              <w:t xml:space="preserve"> This is an accountable cash grant funded by the Government of Australia to assist the Government of the Philippines in Improving access to Early Learning thru Community-led Approach</w:t>
            </w:r>
          </w:p>
          <w:p w:rsidR="00384CC5" w:rsidRPr="003B02C1" w:rsidRDefault="00384CC5" w:rsidP="00B2476A">
            <w:pPr>
              <w:pStyle w:val="Header"/>
              <w:jc w:val="both"/>
              <w:rPr>
                <w:rFonts w:ascii="Arial" w:eastAsia="Arial" w:hAnsi="Arial" w:cs="Arial"/>
                <w:bCs w:val="0"/>
                <w:color w:val="000000" w:themeColor="text1"/>
                <w:sz w:val="22"/>
                <w:szCs w:val="22"/>
              </w:rPr>
            </w:pPr>
          </w:p>
          <w:p w:rsidR="00384CC5" w:rsidRPr="003B02C1" w:rsidRDefault="00384CC5" w:rsidP="00384CC5">
            <w:pPr>
              <w:numPr>
                <w:ilvl w:val="0"/>
                <w:numId w:val="14"/>
              </w:numPr>
              <w:jc w:val="both"/>
              <w:rPr>
                <w:rFonts w:ascii="Arial" w:eastAsia="Arial" w:hAnsi="Arial" w:cs="Arial"/>
                <w:b w:val="0"/>
                <w:color w:val="000000" w:themeColor="text1"/>
                <w:sz w:val="22"/>
                <w:szCs w:val="22"/>
              </w:rPr>
            </w:pPr>
            <w:r w:rsidRPr="003B02C1">
              <w:rPr>
                <w:rFonts w:ascii="Arial" w:eastAsia="Arial" w:hAnsi="Arial" w:cs="Arial"/>
                <w:b w:val="0"/>
                <w:color w:val="000000" w:themeColor="text1"/>
                <w:sz w:val="22"/>
                <w:szCs w:val="22"/>
              </w:rPr>
              <w:t>Other foreign assisted projects which have been transferred to the general fund books.</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ind w:left="360"/>
              <w:jc w:val="both"/>
              <w:rPr>
                <w:rFonts w:ascii="Arial" w:hAnsi="Arial" w:cs="Arial"/>
                <w:b w:val="0"/>
                <w:color w:val="000000" w:themeColor="text1"/>
                <w:sz w:val="22"/>
                <w:szCs w:val="22"/>
              </w:rPr>
            </w:pPr>
            <w:r w:rsidRPr="003B02C1">
              <w:rPr>
                <w:rFonts w:ascii="Arial" w:hAnsi="Arial" w:cs="Arial"/>
                <w:b w:val="0"/>
                <w:color w:val="000000" w:themeColor="text1"/>
                <w:sz w:val="22"/>
                <w:szCs w:val="22"/>
              </w:rPr>
              <w:t xml:space="preserve">DSWD Regional Office X registered office address is located in Masterson Avenue, Carmen, </w:t>
            </w:r>
            <w:proofErr w:type="gramStart"/>
            <w:r w:rsidRPr="003B02C1">
              <w:rPr>
                <w:rFonts w:ascii="Arial" w:hAnsi="Arial" w:cs="Arial"/>
                <w:b w:val="0"/>
                <w:color w:val="000000" w:themeColor="text1"/>
                <w:sz w:val="22"/>
                <w:szCs w:val="22"/>
              </w:rPr>
              <w:t>Cagayan</w:t>
            </w:r>
            <w:proofErr w:type="gramEnd"/>
            <w:r w:rsidRPr="003B02C1">
              <w:rPr>
                <w:rFonts w:ascii="Arial" w:hAnsi="Arial" w:cs="Arial"/>
                <w:b w:val="0"/>
                <w:color w:val="000000" w:themeColor="text1"/>
                <w:sz w:val="22"/>
                <w:szCs w:val="22"/>
              </w:rPr>
              <w:t xml:space="preserve"> de Oro City.</w:t>
            </w:r>
          </w:p>
          <w:p w:rsidR="00384CC5" w:rsidRPr="003B02C1" w:rsidRDefault="00384CC5" w:rsidP="00B2476A">
            <w:pPr>
              <w:ind w:left="360"/>
              <w:jc w:val="both"/>
              <w:rPr>
                <w:rFonts w:ascii="Arial" w:hAnsi="Arial" w:cs="Arial"/>
                <w:b w:val="0"/>
                <w:color w:val="000000" w:themeColor="text1"/>
                <w:sz w:val="22"/>
                <w:szCs w:val="22"/>
              </w:rPr>
            </w:pPr>
          </w:p>
        </w:tc>
        <w:tc>
          <w:tcPr>
            <w:tcW w:w="274"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386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b/>
                <w:color w:val="000000" w:themeColor="text1"/>
                <w:sz w:val="22"/>
                <w:szCs w:val="22"/>
              </w:rPr>
              <w:t xml:space="preserve">Statement of Compliance and Basis of Preparation of Financial Statements </w:t>
            </w:r>
          </w:p>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6F40" w:rsidRPr="003B02C1" w:rsidRDefault="00386F40" w:rsidP="00386F40">
            <w:pPr>
              <w:pStyle w:val="Header"/>
              <w:numPr>
                <w:ilvl w:val="1"/>
                <w:numId w:val="15"/>
              </w:numPr>
              <w:jc w:val="both"/>
              <w:rPr>
                <w:rFonts w:ascii="Arial" w:hAnsi="Arial" w:cs="Arial"/>
                <w:color w:val="000000" w:themeColor="text1"/>
                <w:sz w:val="22"/>
                <w:szCs w:val="22"/>
              </w:rPr>
            </w:pPr>
            <w:r w:rsidRPr="003B02C1">
              <w:rPr>
                <w:rFonts w:ascii="Arial" w:hAnsi="Arial" w:cs="Arial"/>
                <w:color w:val="000000" w:themeColor="text1"/>
                <w:sz w:val="22"/>
                <w:szCs w:val="22"/>
              </w:rPr>
              <w:t>Statement of Compliance with International Public Sector Accounting Standards (IPSAS).</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financial statements have been prepared in compliance with IPSAS, formerly the Philippine Public Sector Accounting Standards (PPSASs), prescribed for adoption by the Commission on Audit (COA) in COA Resolution No. 2014-003 dated January 24, 2014.The </w:t>
            </w:r>
            <w:r w:rsidR="00444918" w:rsidRPr="003B02C1">
              <w:rPr>
                <w:rFonts w:ascii="Arial" w:hAnsi="Arial" w:cs="Arial"/>
                <w:color w:val="000000" w:themeColor="text1"/>
                <w:sz w:val="22"/>
                <w:szCs w:val="22"/>
              </w:rPr>
              <w:t>PPSAS</w:t>
            </w:r>
            <w:r w:rsidRPr="003B02C1">
              <w:rPr>
                <w:rFonts w:ascii="Arial" w:hAnsi="Arial" w:cs="Arial"/>
                <w:color w:val="000000" w:themeColor="text1"/>
                <w:sz w:val="22"/>
                <w:szCs w:val="22"/>
              </w:rPr>
              <w:t xml:space="preserve"> was renamed to IPSAS per COA Resolution No. 2020-01 dated January 9, 2020. </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by fund cluster in compliance with the requirements of COA Circular No. 2016-006.</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accounting policies have been consistently applied throughout the year presented.</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4CC5" w:rsidP="00384CC5">
            <w:pPr>
              <w:pStyle w:val="Header"/>
              <w:numPr>
                <w:ilvl w:val="1"/>
                <w:numId w:val="15"/>
              </w:numPr>
              <w:jc w:val="both"/>
              <w:rPr>
                <w:rFonts w:ascii="Arial" w:eastAsia="Arial" w:hAnsi="Arial" w:cs="Arial"/>
                <w:b/>
                <w:color w:val="000000" w:themeColor="text1"/>
                <w:sz w:val="22"/>
                <w:szCs w:val="22"/>
              </w:rPr>
            </w:pPr>
            <w:r w:rsidRPr="003B02C1">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384CC5" w:rsidRPr="003B02C1" w:rsidRDefault="00384CC5" w:rsidP="00B2476A">
            <w:pPr>
              <w:jc w:val="both"/>
              <w:rPr>
                <w:rFonts w:ascii="Arial" w:eastAsia="Arial" w:hAnsi="Arial" w:cs="Arial"/>
                <w:b/>
                <w:color w:val="000000" w:themeColor="text1"/>
                <w:sz w:val="22"/>
                <w:szCs w:val="22"/>
              </w:rPr>
            </w:pPr>
          </w:p>
          <w:p w:rsidR="00384CC5" w:rsidRPr="003B02C1" w:rsidRDefault="00384CC5" w:rsidP="00B2476A">
            <w:pP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384CC5" w:rsidRPr="003B02C1" w:rsidRDefault="00384CC5" w:rsidP="00B2476A">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384CC5" w:rsidRPr="003B02C1" w:rsidTr="00386F40">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384CC5" w:rsidRPr="003B02C1" w:rsidRDefault="00384CC5" w:rsidP="00B2476A">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Summary of Significant Accounting Policies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Basis of accounting</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A43426"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on an accrual basis in accordance with the International Public Sector Accounting Standards (IPSAS).</w:t>
            </w:r>
          </w:p>
        </w:tc>
        <w:tc>
          <w:tcPr>
            <w:tcW w:w="274"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384CC5" w:rsidRPr="003B02C1" w:rsidRDefault="00384CC5" w:rsidP="00384CC5">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384CC5" w:rsidRPr="003B02C1" w:rsidTr="007C7519">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lastRenderedPageBreak/>
              <w:t>Financial instruments</w:t>
            </w:r>
          </w:p>
          <w:p w:rsidR="00384CC5" w:rsidRPr="003B02C1" w:rsidRDefault="00384CC5" w:rsidP="00B2476A">
            <w:pPr>
              <w:pStyle w:val="Header"/>
              <w:jc w:val="both"/>
              <w:rPr>
                <w:rFonts w:ascii="Arial" w:hAnsi="Arial" w:cs="Arial"/>
                <w:color w:val="0D0D0D" w:themeColor="text1" w:themeTint="F2"/>
                <w:sz w:val="22"/>
                <w:szCs w:val="22"/>
              </w:rPr>
            </w:pPr>
          </w:p>
          <w:p w:rsidR="00384CC5" w:rsidRPr="003B02C1" w:rsidRDefault="00384CC5" w:rsidP="00384CC5">
            <w:pPr>
              <w:pStyle w:val="Header"/>
              <w:numPr>
                <w:ilvl w:val="0"/>
                <w:numId w:val="3"/>
              </w:numPr>
              <w:ind w:left="990" w:hanging="27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Financial assets</w:t>
            </w:r>
          </w:p>
          <w:p w:rsidR="00384CC5" w:rsidRPr="003B02C1" w:rsidRDefault="00384CC5" w:rsidP="00B2476A">
            <w:pPr>
              <w:pStyle w:val="Header"/>
              <w:ind w:left="990"/>
              <w:jc w:val="both"/>
              <w:rPr>
                <w:rFonts w:ascii="Arial" w:hAnsi="Arial" w:cs="Arial"/>
                <w:b w:val="0"/>
                <w:color w:val="0D0D0D" w:themeColor="text1" w:themeTint="F2"/>
                <w:sz w:val="22"/>
                <w:szCs w:val="22"/>
              </w:rPr>
            </w:pPr>
          </w:p>
          <w:p w:rsidR="00384CC5" w:rsidRPr="003B02C1" w:rsidRDefault="00384CC5" w:rsidP="00B2476A">
            <w:pPr>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Initial recognition and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 xml:space="preserve">Financial assets within the scope of </w:t>
            </w:r>
            <w:r w:rsidR="00386F40" w:rsidRPr="003B02C1">
              <w:rPr>
                <w:rFonts w:ascii="Arial" w:hAnsi="Arial" w:cs="Arial"/>
                <w:b w:val="0"/>
                <w:color w:val="0D0D0D" w:themeColor="text1" w:themeTint="F2"/>
                <w:sz w:val="22"/>
                <w:szCs w:val="22"/>
              </w:rPr>
              <w:t>IPSAS</w:t>
            </w:r>
            <w:r w:rsidRPr="003B02C1">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384CC5" w:rsidRPr="003B02C1" w:rsidRDefault="00384CC5" w:rsidP="00B2476A">
            <w:pPr>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DSWD's financial assets include cash and other receivables</w:t>
            </w:r>
            <w:r w:rsidRPr="003B02C1">
              <w:rPr>
                <w:rFonts w:ascii="Arial" w:hAnsi="Arial" w:cs="Arial"/>
                <w:color w:val="0D0D0D" w:themeColor="text1" w:themeTint="F2"/>
                <w:sz w:val="22"/>
                <w:szCs w:val="22"/>
              </w:rPr>
              <w:t>.</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ind w:left="990"/>
              <w:jc w:val="both"/>
              <w:rPr>
                <w:rFonts w:ascii="Arial" w:hAnsi="Arial" w:cs="Arial"/>
                <w:b w:val="0"/>
                <w:i/>
                <w:color w:val="0D0D0D" w:themeColor="text1" w:themeTint="F2"/>
                <w:sz w:val="22"/>
                <w:szCs w:val="22"/>
              </w:rPr>
            </w:pPr>
            <w:r w:rsidRPr="003B02C1">
              <w:rPr>
                <w:rFonts w:ascii="Arial" w:hAnsi="Arial" w:cs="Arial"/>
                <w:b w:val="0"/>
                <w:i/>
                <w:color w:val="0D0D0D" w:themeColor="text1" w:themeTint="F2"/>
                <w:sz w:val="22"/>
                <w:szCs w:val="22"/>
              </w:rPr>
              <w:t>Subsequent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subsequent measurement of financial assets depends on their classification.</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Loans and receivables</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proofErr w:type="spellStart"/>
            <w:r w:rsidRPr="003B02C1">
              <w:rPr>
                <w:rFonts w:ascii="Arial" w:hAnsi="Arial" w:cs="Arial"/>
                <w:i/>
                <w:color w:val="0D0D0D" w:themeColor="text1" w:themeTint="F2"/>
                <w:sz w:val="22"/>
                <w:szCs w:val="22"/>
              </w:rPr>
              <w:t>Derecognition</w:t>
            </w:r>
            <w:proofErr w:type="spellEnd"/>
          </w:p>
          <w:p w:rsidR="00384CC5" w:rsidRPr="003B02C1" w:rsidRDefault="00384CC5" w:rsidP="00B2476A">
            <w:pPr>
              <w:tabs>
                <w:tab w:val="left" w:pos="990"/>
              </w:tabs>
              <w:ind w:left="990"/>
              <w:jc w:val="both"/>
              <w:rPr>
                <w:rFonts w:ascii="Arial" w:hAnsi="Arial" w:cs="Arial"/>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384CC5">
            <w:pPr>
              <w:pStyle w:val="Header"/>
              <w:numPr>
                <w:ilvl w:val="0"/>
                <w:numId w:val="14"/>
              </w:numPr>
              <w:tabs>
                <w:tab w:val="left" w:pos="990"/>
              </w:tabs>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rights to receive cash flows from the asset have expired or is waived</w:t>
            </w:r>
          </w:p>
          <w:p w:rsidR="00384CC5" w:rsidRPr="003B02C1" w:rsidRDefault="00384CC5" w:rsidP="00384CC5">
            <w:pPr>
              <w:pStyle w:val="Header"/>
              <w:numPr>
                <w:ilvl w:val="0"/>
                <w:numId w:val="14"/>
              </w:numPr>
              <w:tabs>
                <w:tab w:val="left" w:pos="990"/>
              </w:tabs>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
                <w:i/>
                <w:color w:val="0D0D0D" w:themeColor="text1" w:themeTint="F2"/>
                <w:sz w:val="22"/>
                <w:szCs w:val="22"/>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Impairment of financial assets</w:t>
            </w: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Evidence of impairment may include the following indicators: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debtors or a group of debtors are experiencing significant financial difficulty;</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Default or delinquency in interest or principal payments;</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probability that debtors will enter bankruptcy or other financial reorganization;</w:t>
            </w:r>
          </w:p>
          <w:p w:rsidR="00384CC5" w:rsidRPr="003B02C1" w:rsidRDefault="00384CC5" w:rsidP="00384CC5">
            <w:pPr>
              <w:pStyle w:val="Header"/>
              <w:numPr>
                <w:ilvl w:val="0"/>
                <w:numId w:val="14"/>
              </w:numPr>
              <w:tabs>
                <w:tab w:val="left" w:pos="990"/>
              </w:tabs>
              <w:jc w:val="both"/>
              <w:rPr>
                <w:rFonts w:ascii="Arial" w:hAnsi="Arial" w:cs="Arial"/>
                <w:b/>
                <w:i/>
                <w:color w:val="0D0D0D" w:themeColor="text1" w:themeTint="F2"/>
                <w:sz w:val="22"/>
                <w:szCs w:val="22"/>
              </w:rPr>
            </w:pPr>
            <w:r w:rsidRPr="003B02C1">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384CC5" w:rsidRPr="003B02C1" w:rsidRDefault="00384CC5" w:rsidP="00B2476A">
            <w:pPr>
              <w:tabs>
                <w:tab w:val="left" w:pos="990"/>
              </w:tabs>
              <w:jc w:val="both"/>
              <w:rPr>
                <w:rFonts w:ascii="Arial" w:hAnsi="Arial" w:cs="Arial"/>
                <w:b/>
                <w:i/>
                <w:color w:val="0D0D0D" w:themeColor="text1" w:themeTint="F2"/>
                <w:sz w:val="22"/>
                <w:szCs w:val="22"/>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B02C1">
              <w:rPr>
                <w:rFonts w:ascii="Arial" w:hAnsi="Arial" w:cs="Arial"/>
                <w:sz w:val="22"/>
                <w:szCs w:val="22"/>
              </w:rPr>
              <w:t xml:space="preserve"> </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384CC5">
            <w:pPr>
              <w:pStyle w:val="Header"/>
              <w:numPr>
                <w:ilvl w:val="0"/>
                <w:numId w:val="3"/>
              </w:numPr>
              <w:ind w:left="990" w:hanging="27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Financial liabilities</w:t>
            </w:r>
          </w:p>
          <w:p w:rsidR="00384CC5" w:rsidRPr="003B02C1" w:rsidRDefault="00384CC5" w:rsidP="00B2476A">
            <w:pPr>
              <w:pStyle w:val="Header"/>
              <w:ind w:left="990"/>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Initial recognition and measurement</w:t>
            </w:r>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Financial liabilities within the scope of </w:t>
            </w:r>
            <w:r w:rsidR="00386F40" w:rsidRPr="003B02C1">
              <w:rPr>
                <w:rFonts w:ascii="Arial" w:hAnsi="Arial" w:cs="Arial"/>
                <w:bCs/>
                <w:color w:val="0D0D0D" w:themeColor="text1" w:themeTint="F2"/>
                <w:sz w:val="22"/>
                <w:szCs w:val="22"/>
                <w:lang w:val="en-PH" w:eastAsia="en-PH"/>
              </w:rPr>
              <w:t>IPSAS</w:t>
            </w:r>
            <w:r w:rsidRPr="003B02C1">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DSWD’s financial liabilities include other payables.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Subsequent measurement</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measurement of financial liabilities depends on their classification.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proofErr w:type="spellStart"/>
            <w:r w:rsidRPr="003B02C1">
              <w:rPr>
                <w:rFonts w:ascii="Arial" w:hAnsi="Arial" w:cs="Arial"/>
                <w:b/>
                <w:bCs/>
                <w:i/>
                <w:color w:val="0D0D0D" w:themeColor="text1" w:themeTint="F2"/>
                <w:sz w:val="22"/>
                <w:szCs w:val="22"/>
                <w:lang w:val="en-PH" w:eastAsia="en-PH"/>
              </w:rPr>
              <w:t>Derecognition</w:t>
            </w:r>
            <w:proofErr w:type="spellEnd"/>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When an existing financial liability is replaced by another from the same lender on substantially different terms, or the terms of an existing liability are substantially modified, such an exchange or modification is treated as a </w:t>
            </w:r>
            <w:proofErr w:type="spellStart"/>
            <w:r w:rsidRPr="003B02C1">
              <w:rPr>
                <w:rFonts w:ascii="Arial" w:hAnsi="Arial" w:cs="Arial"/>
                <w:bCs/>
                <w:color w:val="0D0D0D" w:themeColor="text1" w:themeTint="F2"/>
                <w:sz w:val="22"/>
                <w:szCs w:val="22"/>
                <w:lang w:val="en-PH" w:eastAsia="en-PH"/>
              </w:rPr>
              <w:t>derecognition</w:t>
            </w:r>
            <w:proofErr w:type="spellEnd"/>
            <w:r w:rsidRPr="003B02C1">
              <w:rPr>
                <w:rFonts w:ascii="Arial" w:hAnsi="Arial" w:cs="Arial"/>
                <w:bCs/>
                <w:color w:val="0D0D0D" w:themeColor="text1" w:themeTint="F2"/>
                <w:sz w:val="22"/>
                <w:szCs w:val="22"/>
                <w:lang w:val="en-PH" w:eastAsia="en-PH"/>
              </w:rPr>
              <w:t xml:space="preserve"> of the original liability and the recognition of a new liability, and the difference in the respective carrying amounts is recognized in surplus or deficit.</w:t>
            </w: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Cash and cash equivalents</w:t>
            </w:r>
          </w:p>
          <w:p w:rsidR="00384CC5" w:rsidRPr="003B02C1" w:rsidRDefault="00384CC5" w:rsidP="00B2476A">
            <w:pPr>
              <w:pStyle w:val="Header"/>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6F2E05" w:rsidRPr="003B02C1" w:rsidRDefault="006F2E05" w:rsidP="00191123">
            <w:pPr>
              <w:autoSpaceDE w:val="0"/>
              <w:autoSpaceDN w:val="0"/>
              <w:adjustRightInd w:val="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 xml:space="preserve"> Inventories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sz w:val="22"/>
                <w:szCs w:val="22"/>
                <w:lang w:val="en-PH" w:eastAsia="en-PH"/>
              </w:rPr>
            </w:pPr>
            <w:r w:rsidRPr="003B02C1">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Property, Plant and Equipment</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characteristics of PPE are as follows: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tangible items;</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are</w:t>
            </w:r>
            <w:proofErr w:type="gramEnd"/>
            <w:r w:rsidRPr="003B02C1">
              <w:rPr>
                <w:rFonts w:ascii="Arial" w:hAnsi="Arial" w:cs="Arial"/>
                <w:bCs/>
                <w:color w:val="000000" w:themeColor="text1"/>
                <w:sz w:val="22"/>
                <w:szCs w:val="22"/>
                <w:lang w:val="en-PH" w:eastAsia="en-PH"/>
              </w:rPr>
              <w:t xml:space="preserve"> expected to be used during more than one reporting period.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An item of PPE is recognized as an asset if: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cost or fair value of the item can be measured reliably.</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at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recognized as property, plant, and equipment is measured at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 PPE acquired through non-exchange transaction is measured at its fair value as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Cost includes the following:</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that is directly attributable to the acquisition of the items; and</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having</w:t>
            </w:r>
            <w:proofErr w:type="gramEnd"/>
            <w:r w:rsidRPr="003B02C1">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After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384CC5" w:rsidRPr="003B02C1" w:rsidRDefault="00384CC5" w:rsidP="00B2476A">
            <w:pPr>
              <w:autoSpaceDE w:val="0"/>
              <w:autoSpaceDN w:val="0"/>
              <w:adjustRightInd w:val="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Initial Recognition of 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Depreciation Method</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jc w:val="both"/>
              <w:rPr>
                <w:rFonts w:ascii="Arial" w:hAnsi="Arial" w:cs="Arial"/>
                <w:b/>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Estimated Useful Life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the Schedule on the Estimated Useful Life of PPE by classification prepared by COA.</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a residual value equivalent to at least five percent (5%) of the cost of the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 xml:space="preserve">Impairment </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proofErr w:type="spellStart"/>
            <w:r w:rsidRPr="003B02C1">
              <w:rPr>
                <w:rFonts w:ascii="Arial" w:hAnsi="Arial" w:cs="Arial"/>
                <w:b/>
                <w:bCs/>
                <w:i/>
                <w:color w:val="000000" w:themeColor="text1"/>
                <w:sz w:val="22"/>
                <w:szCs w:val="22"/>
                <w:lang w:val="en-PH" w:eastAsia="en-PH"/>
              </w:rPr>
              <w:lastRenderedPageBreak/>
              <w:t>Derecognition</w:t>
            </w:r>
            <w:proofErr w:type="spellEnd"/>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DSWD derecognizes items of property, plant and equipment and/or any significant part of an asset upon disposal or when no future economic benefits or service potential is expected from its continuing use. Any gain or loss arising on </w:t>
            </w:r>
            <w:proofErr w:type="spellStart"/>
            <w:r w:rsidRPr="003B02C1">
              <w:rPr>
                <w:rFonts w:ascii="Arial" w:hAnsi="Arial" w:cs="Arial"/>
                <w:bCs/>
                <w:color w:val="000000" w:themeColor="text1"/>
                <w:sz w:val="22"/>
                <w:szCs w:val="22"/>
                <w:lang w:val="en-PH" w:eastAsia="en-PH"/>
              </w:rPr>
              <w:t>derecognition</w:t>
            </w:r>
            <w:proofErr w:type="spellEnd"/>
            <w:r w:rsidRPr="003B02C1">
              <w:rPr>
                <w:rFonts w:ascii="Arial" w:hAnsi="Arial" w:cs="Arial"/>
                <w:bCs/>
                <w:color w:val="000000" w:themeColor="text1"/>
                <w:sz w:val="22"/>
                <w:szCs w:val="22"/>
                <w:lang w:val="en-PH" w:eastAsia="en-PH"/>
              </w:rPr>
              <w:t xml:space="preserve"> of the asset (calculated as the difference between the net disposal proceeds and the carrying amount of the asset) is included in the surplus or deficit when the asset is derecognized.</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r w:rsidRPr="003B02C1">
                    <w:rPr>
                      <w:rFonts w:ascii="Arial" w:hAnsi="Arial" w:cs="Arial"/>
                      <w:bCs w:val="0"/>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val="0"/>
                      <w:bCs w:val="0"/>
                      <w:color w:val="000000" w:themeColor="text1"/>
                      <w:sz w:val="22"/>
                      <w:szCs w:val="22"/>
                      <w:lang w:val="en-PH" w:eastAsia="en-PH"/>
                    </w:rPr>
                  </w:pPr>
                  <w:r w:rsidRPr="003B02C1">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r w:rsidRPr="003B02C1">
                    <w:rPr>
                      <w:rFonts w:ascii="Arial" w:hAnsi="Arial" w:cs="Arial"/>
                      <w:bCs/>
                      <w:i/>
                      <w:color w:val="000000" w:themeColor="text1"/>
                      <w:sz w:val="22"/>
                      <w:szCs w:val="22"/>
                      <w:lang w:val="en-PH" w:eastAsia="en-PH"/>
                    </w:rPr>
                    <w:t>DSWD as a lessor</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Leases in which the DSWD</w:t>
                  </w:r>
                  <w:r w:rsidRPr="003B02C1">
                    <w:rPr>
                      <w:rFonts w:ascii="Arial" w:hAnsi="Arial" w:cs="Arial"/>
                      <w:bCs/>
                      <w:i/>
                      <w:color w:val="000000" w:themeColor="text1"/>
                      <w:sz w:val="22"/>
                      <w:szCs w:val="22"/>
                      <w:lang w:val="en-PH" w:eastAsia="en-PH"/>
                    </w:rPr>
                    <w:t xml:space="preserve"> </w:t>
                  </w:r>
                  <w:r w:rsidRPr="003B02C1">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color w:val="000000" w:themeColor="text1"/>
                      <w:sz w:val="22"/>
                      <w:szCs w:val="22"/>
                      <w:lang w:val="en-US"/>
                    </w:rPr>
                  </w:pPr>
                  <w:r w:rsidRPr="003B02C1">
                    <w:rPr>
                      <w:rFonts w:ascii="Arial" w:hAnsi="Arial" w:cs="Arial"/>
                      <w:bCs/>
                      <w:color w:val="000000" w:themeColor="text1"/>
                      <w:sz w:val="22"/>
                      <w:szCs w:val="22"/>
                      <w:lang w:val="en-PH" w:eastAsia="en-PH"/>
                    </w:rPr>
                    <w:t xml:space="preserve">The depreciation policy for PPE is applied to similar assets leased by the entity. </w:t>
                  </w:r>
                </w:p>
                <w:p w:rsidR="00384CC5" w:rsidRPr="003B02C1" w:rsidRDefault="00384CC5" w:rsidP="00B2476A">
                  <w:pPr>
                    <w:autoSpaceDE w:val="0"/>
                    <w:autoSpaceDN w:val="0"/>
                    <w:adjustRightInd w:val="0"/>
                    <w:jc w:val="both"/>
                    <w:rPr>
                      <w:rFonts w:ascii="Arial" w:hAnsi="Arial" w:cs="Arial"/>
                      <w:bCs/>
                      <w:color w:val="000000" w:themeColor="text1"/>
                      <w:sz w:val="22"/>
                      <w:szCs w:val="22"/>
                      <w:lang w:val="en-PH" w:eastAsia="en-PH"/>
                    </w:rPr>
                  </w:pPr>
                </w:p>
              </w:tc>
            </w:tr>
          </w:tbl>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Intangible Assets</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w:t>
            </w:r>
          </w:p>
          <w:p w:rsidR="00384CC5" w:rsidRPr="003B02C1" w:rsidRDefault="00384CC5" w:rsidP="00B2476A">
            <w:pPr>
              <w:autoSpaceDE w:val="0"/>
              <w:autoSpaceDN w:val="0"/>
              <w:adjustRightInd w:val="0"/>
              <w:ind w:left="720"/>
              <w:jc w:val="both"/>
              <w:rPr>
                <w:rFonts w:ascii="Arial" w:hAnsi="Arial" w:cs="Arial"/>
                <w:i/>
                <w:color w:val="000000" w:themeColor="text1"/>
                <w:sz w:val="22"/>
                <w:szCs w:val="22"/>
              </w:rPr>
            </w:pPr>
          </w:p>
          <w:p w:rsidR="00384CC5" w:rsidRPr="003B02C1" w:rsidRDefault="00384CC5" w:rsidP="00F2354B">
            <w:pPr>
              <w:pStyle w:val="Header"/>
              <w:ind w:left="810"/>
              <w:jc w:val="both"/>
              <w:rPr>
                <w:rFonts w:ascii="Arial" w:hAnsi="Arial" w:cs="Arial"/>
                <w:color w:val="000000" w:themeColor="text1"/>
                <w:sz w:val="22"/>
                <w:szCs w:val="22"/>
              </w:rPr>
            </w:pPr>
            <w:r w:rsidRPr="003B02C1">
              <w:rPr>
                <w:rFonts w:ascii="Arial" w:hAnsi="Arial" w:cs="Arial"/>
                <w:color w:val="000000" w:themeColor="text1"/>
                <w:sz w:val="22"/>
                <w:szCs w:val="22"/>
              </w:rPr>
              <w:t>Intangible assets are recognized when the items are identifiable non-</w:t>
            </w:r>
            <w:r w:rsidR="00425705" w:rsidRPr="003B02C1">
              <w:rPr>
                <w:rFonts w:ascii="Arial" w:hAnsi="Arial" w:cs="Arial"/>
                <w:color w:val="000000" w:themeColor="text1"/>
                <w:sz w:val="22"/>
                <w:szCs w:val="22"/>
              </w:rPr>
              <w:t xml:space="preserve">        </w:t>
            </w:r>
            <w:r w:rsidRPr="003B02C1">
              <w:rPr>
                <w:rFonts w:ascii="Arial" w:hAnsi="Arial" w:cs="Arial"/>
                <w:color w:val="000000" w:themeColor="text1"/>
                <w:sz w:val="22"/>
                <w:szCs w:val="22"/>
              </w:rPr>
              <w:t>monetary assets without physical substance; it is probable that the expected future economic benefits or service potential that are attributable to the assets will flow to the entity; and the cost or fair value of the assets can be measured reliably.</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Intangible assets acquired separately are initially recognized at cost.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Intangible Assets Acquired through Non-Exchange Transactions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Internally Generated Intangible Assets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 of an Expense</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Subsequent Measurement</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useful life of the intangible assets is assessed as either finite or indefinite.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 finite life is amortized over its useful life:</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is adopted</w:t>
            </w:r>
            <w:r w:rsidRPr="003B02C1">
              <w:rPr>
                <w:rFonts w:ascii="Arial" w:hAnsi="Arial" w:cs="Arial"/>
                <w:bCs/>
                <w:color w:val="000000" w:themeColor="text1"/>
                <w:sz w:val="22"/>
                <w:szCs w:val="22"/>
              </w:rPr>
              <w:t xml:space="preserve"> </w:t>
            </w:r>
            <w:r w:rsidRPr="003B02C1">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intangible asset with indefinite useful lives shall not be amortized.</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Gains or losses arising from </w:t>
            </w:r>
            <w:proofErr w:type="spellStart"/>
            <w:r w:rsidRPr="003B02C1">
              <w:rPr>
                <w:rFonts w:ascii="Arial" w:hAnsi="Arial" w:cs="Arial"/>
                <w:bCs/>
                <w:color w:val="000000" w:themeColor="text1"/>
                <w:sz w:val="22"/>
                <w:szCs w:val="22"/>
                <w:lang w:val="en-PH" w:eastAsia="en-PH"/>
              </w:rPr>
              <w:t>derecognition</w:t>
            </w:r>
            <w:proofErr w:type="spellEnd"/>
            <w:r w:rsidRPr="003B02C1">
              <w:rPr>
                <w:rFonts w:ascii="Arial" w:hAnsi="Arial" w:cs="Arial"/>
                <w:bCs/>
                <w:color w:val="000000" w:themeColor="text1"/>
                <w:sz w:val="22"/>
                <w:szCs w:val="22"/>
                <w:lang w:val="en-PH" w:eastAsia="en-PH"/>
              </w:rPr>
              <w:t xml:space="preserve"> of an intangible asset are measured as the difference between the net disposal proceeds and the carrying amount of the asset and are recognized in the surplus or deficit when the asset is derecognized.</w:t>
            </w:r>
          </w:p>
          <w:p w:rsidR="004334B5" w:rsidRPr="003B02C1" w:rsidRDefault="004334B5" w:rsidP="00B2476A">
            <w:pPr>
              <w:jc w:val="both"/>
              <w:rPr>
                <w:rFonts w:ascii="Arial" w:hAnsi="Arial" w:cs="Arial"/>
                <w:b/>
                <w:color w:val="000000" w:themeColor="text1"/>
                <w:sz w:val="22"/>
                <w:szCs w:val="22"/>
              </w:rPr>
            </w:pP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7E60C9" w:rsidRPr="003B02C1" w:rsidRDefault="007E60C9" w:rsidP="007E60C9">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 and estimates</w:t>
            </w:r>
          </w:p>
          <w:p w:rsidR="007E60C9" w:rsidRPr="003B02C1" w:rsidRDefault="007E60C9" w:rsidP="007E60C9">
            <w:pPr>
              <w:pStyle w:val="Header"/>
              <w:jc w:val="both"/>
              <w:rPr>
                <w:rFonts w:ascii="Arial" w:hAnsi="Arial" w:cs="Arial"/>
                <w:b/>
                <w:color w:val="000000" w:themeColor="text1"/>
                <w:sz w:val="22"/>
                <w:szCs w:val="22"/>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Restating the comparative amounts for prior period(s) presented in which the error occurred; or</w:t>
            </w:r>
          </w:p>
          <w:p w:rsidR="007E60C9" w:rsidRPr="003B02C1"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            </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Increase in the Capitalization Threshold from P 15,000.00 to P 50,000.00</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7E60C9" w:rsidRPr="003B02C1" w:rsidRDefault="007E60C9" w:rsidP="007E60C9">
            <w:pPr>
              <w:pStyle w:val="Header"/>
              <w:autoSpaceDE w:val="0"/>
              <w:autoSpaceDN w:val="0"/>
              <w:adjustRightInd w:val="0"/>
              <w:ind w:left="74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carrying amount shall be expensed/charged to the following accounts, as applicable:</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Accumulated Surplus/(deficit) for NGAs and GCs classified as Non-Commercial Public Sector Entities;</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Retained Earnings/(Deficit) for GCs classified as Commercial Public Sector Entities; or</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Prior Period Adjustment and Government Equity for LGUs.</w:t>
            </w:r>
          </w:p>
          <w:p w:rsidR="007E60C9" w:rsidRPr="003B02C1" w:rsidRDefault="007E60C9" w:rsidP="007E60C9">
            <w:pPr>
              <w:pStyle w:val="Header"/>
              <w:autoSpaceDE w:val="0"/>
              <w:autoSpaceDN w:val="0"/>
              <w:adjustRightInd w:val="0"/>
              <w:ind w:left="218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Low-valued items - cost of each item is P 5,000.00 or less; and</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cost of each item is more than P 5,000.00 but less than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 50,000.00.</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accountability for semi-expendable property shall also be segregated based on a categorization, as follows: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B02C1">
              <w:rPr>
                <w:rFonts w:ascii="Arial" w:hAnsi="Arial" w:cs="Arial"/>
                <w:bCs/>
                <w:color w:val="000000" w:themeColor="text1"/>
                <w:sz w:val="22"/>
                <w:szCs w:val="22"/>
                <w:lang w:val="en-PH" w:eastAsia="en-PH"/>
              </w:rPr>
              <w:t>o</w:t>
            </w:r>
            <w:proofErr w:type="spellEnd"/>
            <w:r w:rsidRPr="003B02C1">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To serve as a guide, a range of estimated useful life per class is provided, as follows:</w:t>
            </w: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Semi-Expendable Machinery and Equipment – 5 to 15 years</w:t>
            </w: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Semi-Expendable Furniture, Fixtures and Books – 2 to 15 years</w:t>
            </w:r>
          </w:p>
          <w:p w:rsidR="007E60C9" w:rsidRPr="003B02C1" w:rsidRDefault="007E60C9" w:rsidP="007E60C9">
            <w:pP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7C75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lastRenderedPageBreak/>
              <w:t>Foreign currency transactions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At each reporting date:</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Foreign currency monetary items are translated using the closing rate;</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384CC5" w:rsidRPr="003B02C1" w:rsidRDefault="00384CC5" w:rsidP="00B2476A">
            <w:pPr>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Revenue from non-exchange transactions</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 of Assets from Non-Exchange Transactions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It is probable that the future economic benefits or service potential associated with the asset will flow to the entity; and</w:t>
            </w: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asset acquired through a non-exchange transaction is initially measured at its fair value as at the date of acquisition.</w:t>
            </w:r>
          </w:p>
          <w:p w:rsidR="00384CC5" w:rsidRPr="003B02C1" w:rsidRDefault="00384CC5" w:rsidP="00B2476A">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594"/>
                    <w:jc w:val="both"/>
                    <w:rPr>
                      <w:rFonts w:ascii="Arial" w:hAnsi="Arial" w:cs="Arial"/>
                      <w:i/>
                      <w:color w:val="000000" w:themeColor="text1"/>
                      <w:sz w:val="22"/>
                      <w:szCs w:val="22"/>
                    </w:rPr>
                  </w:pPr>
                  <w:r w:rsidRPr="003B02C1">
                    <w:rPr>
                      <w:rFonts w:ascii="Arial" w:hAnsi="Arial" w:cs="Arial"/>
                      <w:i/>
                      <w:color w:val="000000" w:themeColor="text1"/>
                      <w:sz w:val="22"/>
                      <w:szCs w:val="22"/>
                    </w:rPr>
                    <w:t>Recognition Revenue from Non-Exchange Transactions</w:t>
                  </w:r>
                </w:p>
                <w:p w:rsidR="00384CC5" w:rsidRPr="003B02C1" w:rsidRDefault="00384CC5" w:rsidP="00B2476A">
                  <w:pPr>
                    <w:ind w:left="720"/>
                    <w:jc w:val="both"/>
                    <w:rPr>
                      <w:rFonts w:ascii="Arial" w:hAnsi="Arial" w:cs="Arial"/>
                      <w:b w:val="0"/>
                      <w:i/>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384CC5" w:rsidRPr="003B02C1" w:rsidRDefault="00384CC5" w:rsidP="00B2476A">
                  <w:pPr>
                    <w:ind w:left="720"/>
                    <w:jc w:val="both"/>
                    <w:rPr>
                      <w:rFonts w:ascii="Arial" w:hAnsi="Arial" w:cs="Arial"/>
                      <w:b w:val="0"/>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384CC5" w:rsidRPr="003B02C1" w:rsidRDefault="00384CC5" w:rsidP="00B2476A">
                  <w:pPr>
                    <w:ind w:left="720"/>
                    <w:jc w:val="both"/>
                    <w:rPr>
                      <w:rFonts w:ascii="Arial" w:hAnsi="Arial" w:cs="Arial"/>
                      <w:b w:val="0"/>
                      <w:i/>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lastRenderedPageBreak/>
                    <w:t>Measurement of Revenue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384CC5" w:rsidRPr="003B02C1" w:rsidRDefault="00384CC5" w:rsidP="00B2476A">
                  <w:pPr>
                    <w:ind w:left="720"/>
                    <w:jc w:val="both"/>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C747D4">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Measurement of Liabilities on Initial Recognition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384CC5" w:rsidRPr="003B02C1" w:rsidRDefault="00384CC5" w:rsidP="00B2476A">
                  <w:pPr>
                    <w:jc w:val="both"/>
                    <w:rPr>
                      <w:rFonts w:ascii="Arial" w:hAnsi="Arial" w:cs="Arial"/>
                      <w:color w:val="000000" w:themeColor="text1"/>
                      <w:sz w:val="22"/>
                      <w:szCs w:val="22"/>
                    </w:rPr>
                  </w:pPr>
                </w:p>
              </w:tc>
            </w:tr>
          </w:tbl>
          <w:p w:rsidR="00384CC5" w:rsidRPr="003B02C1" w:rsidRDefault="00384CC5" w:rsidP="00B2476A">
            <w:pPr>
              <w:ind w:left="720"/>
              <w:jc w:val="both"/>
              <w:rPr>
                <w:rFonts w:ascii="Arial" w:hAnsi="Arial" w:cs="Arial"/>
                <w:b/>
                <w:i/>
                <w:color w:val="0D0D0D" w:themeColor="text1" w:themeTint="F2"/>
                <w:sz w:val="22"/>
                <w:szCs w:val="22"/>
              </w:rPr>
            </w:pPr>
            <w:r w:rsidRPr="003B02C1">
              <w:rPr>
                <w:rFonts w:ascii="Arial" w:hAnsi="Arial" w:cs="Arial"/>
                <w:b/>
                <w:i/>
                <w:color w:val="0D0D0D" w:themeColor="text1" w:themeTint="F2"/>
                <w:sz w:val="22"/>
                <w:szCs w:val="22"/>
              </w:rPr>
              <w:t>Fees and fines not related to taxes</w:t>
            </w:r>
          </w:p>
          <w:p w:rsidR="00384CC5" w:rsidRPr="003B02C1" w:rsidRDefault="00384CC5" w:rsidP="00B2476A">
            <w:pPr>
              <w:ind w:left="990"/>
              <w:jc w:val="both"/>
              <w:rPr>
                <w:rFonts w:ascii="Arial" w:hAnsi="Arial" w:cs="Arial"/>
                <w:i/>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384CC5" w:rsidRPr="003B02C1" w:rsidRDefault="00384CC5" w:rsidP="00B2476A">
            <w:pPr>
              <w:ind w:left="720"/>
              <w:jc w:val="both"/>
              <w:rPr>
                <w:rFonts w:ascii="Arial" w:hAnsi="Arial" w:cs="Arial"/>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Gifts and Donations</w:t>
            </w:r>
          </w:p>
          <w:p w:rsidR="00384CC5" w:rsidRPr="003B02C1" w:rsidRDefault="00384CC5" w:rsidP="00B2476A">
            <w:pPr>
              <w:ind w:left="99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384CC5" w:rsidRPr="003B02C1" w:rsidRDefault="00384CC5" w:rsidP="00B2476A">
            <w:pPr>
              <w:ind w:left="720"/>
              <w:jc w:val="both"/>
              <w:rPr>
                <w:rFonts w:ascii="Arial" w:hAnsi="Arial" w:cs="Arial"/>
                <w:color w:val="000000" w:themeColor="text1"/>
                <w:sz w:val="22"/>
                <w:szCs w:val="22"/>
              </w:rPr>
            </w:pPr>
          </w:p>
          <w:p w:rsidR="006F2E05" w:rsidRPr="003B02C1" w:rsidRDefault="00384CC5" w:rsidP="006F2E05">
            <w:pPr>
              <w:ind w:left="810"/>
              <w:jc w:val="both"/>
              <w:rPr>
                <w:rFonts w:ascii="Arial" w:hAnsi="Arial" w:cs="Arial"/>
                <w:color w:val="000000" w:themeColor="text1"/>
                <w:sz w:val="22"/>
                <w:szCs w:val="22"/>
              </w:rPr>
            </w:pPr>
            <w:r w:rsidRPr="003B02C1">
              <w:rPr>
                <w:rFonts w:ascii="Arial" w:hAnsi="Arial" w:cs="Arial"/>
                <w:color w:val="000000" w:themeColor="text1"/>
                <w:sz w:val="22"/>
                <w:szCs w:val="22"/>
              </w:rPr>
              <w:t xml:space="preserve">On initial recognition, gifts and donations including goods in-kind are </w:t>
            </w:r>
            <w:r w:rsidR="006F2E05" w:rsidRPr="003B02C1">
              <w:rPr>
                <w:rFonts w:ascii="Arial" w:hAnsi="Arial" w:cs="Arial"/>
                <w:color w:val="000000" w:themeColor="text1"/>
                <w:sz w:val="22"/>
                <w:szCs w:val="22"/>
              </w:rPr>
              <w:t>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6F2E05" w:rsidRPr="003B02C1" w:rsidRDefault="006F2E05" w:rsidP="006F2E05">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Transfers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Transfers from other government entities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BE1D90">
              <w:rPr>
                <w:rFonts w:ascii="Arial" w:hAnsi="Arial" w:cs="Arial"/>
                <w:color w:val="000000" w:themeColor="text1"/>
                <w:sz w:val="22"/>
                <w:szCs w:val="22"/>
              </w:rPr>
              <w:t>Agency</w:t>
            </w:r>
            <w:bookmarkStart w:id="0" w:name="_GoBack"/>
            <w:bookmarkEnd w:id="0"/>
            <w:r w:rsidRPr="003B02C1">
              <w:rPr>
                <w:rFonts w:ascii="Arial" w:hAnsi="Arial" w:cs="Arial"/>
                <w:color w:val="000000" w:themeColor="text1"/>
                <w:sz w:val="22"/>
                <w:szCs w:val="22"/>
              </w:rPr>
              <w:t xml:space="preserve"> and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4109"/>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Budget information</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annual budget is </w:t>
            </w:r>
            <w:r w:rsidRPr="003B02C1">
              <w:rPr>
                <w:rFonts w:ascii="Arial" w:hAnsi="Arial" w:cs="Arial"/>
                <w:color w:val="0D0D0D" w:themeColor="text1" w:themeTint="F2"/>
                <w:sz w:val="22"/>
                <w:szCs w:val="22"/>
              </w:rPr>
              <w:t xml:space="preserve">prepared on a cash basis and is published </w:t>
            </w:r>
            <w:r w:rsidRPr="003B02C1">
              <w:rPr>
                <w:rFonts w:ascii="Arial" w:hAnsi="Arial" w:cs="Arial"/>
                <w:color w:val="000000" w:themeColor="text1"/>
                <w:sz w:val="22"/>
                <w:szCs w:val="22"/>
              </w:rPr>
              <w:t xml:space="preserve">in the government website.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FF0000"/>
                <w:sz w:val="22"/>
                <w:szCs w:val="22"/>
              </w:rPr>
            </w:pPr>
            <w:r w:rsidRPr="003B02C1">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Impairment of Non-Financial Assets</w:t>
            </w:r>
          </w:p>
          <w:p w:rsidR="00384CC5" w:rsidRPr="003B02C1" w:rsidRDefault="00384CC5" w:rsidP="00B2476A">
            <w:pPr>
              <w:ind w:left="27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Impairment of non-cash-generating assets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384CC5" w:rsidRPr="003B02C1" w:rsidRDefault="00384CC5" w:rsidP="00B2476A">
            <w:pPr>
              <w:ind w:left="720"/>
              <w:jc w:val="both"/>
              <w:rPr>
                <w:rFonts w:ascii="Arial" w:hAnsi="Arial" w:cs="Arial"/>
                <w:color w:val="000000" w:themeColor="text1"/>
                <w:sz w:val="22"/>
                <w:szCs w:val="22"/>
              </w:rPr>
            </w:pPr>
          </w:p>
          <w:p w:rsidR="00C53395" w:rsidRPr="003B02C1" w:rsidRDefault="00384CC5" w:rsidP="00C53395">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Where the carrying amount of an asset exceeds its recoverable service amount, the asset is considered impaired and is written down to its</w:t>
            </w:r>
            <w:r w:rsidR="00C53395" w:rsidRPr="003B02C1">
              <w:rPr>
                <w:rFonts w:ascii="Arial" w:hAnsi="Arial" w:cs="Arial"/>
                <w:color w:val="000000" w:themeColor="text1"/>
                <w:sz w:val="22"/>
                <w:szCs w:val="22"/>
              </w:rPr>
              <w:t xml:space="preserve">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Employee benefits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lastRenderedPageBreak/>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Measurement uncertainty</w:t>
            </w:r>
          </w:p>
          <w:p w:rsidR="00384CC5" w:rsidRPr="003B02C1" w:rsidRDefault="00384CC5" w:rsidP="00B2476A">
            <w:pPr>
              <w:tabs>
                <w:tab w:val="left" w:pos="882"/>
              </w:tabs>
              <w:jc w:val="both"/>
              <w:rPr>
                <w:rFonts w:ascii="Arial" w:hAnsi="Arial" w:cs="Arial"/>
                <w:b/>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preparation of financial statements in conformity with </w:t>
            </w:r>
            <w:r w:rsidR="00386F40" w:rsidRPr="003B02C1">
              <w:rPr>
                <w:rFonts w:ascii="Arial" w:hAnsi="Arial" w:cs="Arial"/>
                <w:color w:val="000000" w:themeColor="text1"/>
                <w:sz w:val="22"/>
                <w:szCs w:val="22"/>
              </w:rPr>
              <w:t>IPSAS</w:t>
            </w:r>
            <w:r w:rsidRPr="003B02C1">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384CC5" w:rsidRPr="003B02C1" w:rsidRDefault="00384CC5" w:rsidP="00B2476A">
            <w:pPr>
              <w:tabs>
                <w:tab w:val="left" w:pos="882"/>
              </w:tabs>
              <w:ind w:left="702"/>
              <w:jc w:val="both"/>
              <w:rPr>
                <w:rFonts w:ascii="Arial" w:hAnsi="Arial" w:cs="Arial"/>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384CC5" w:rsidRPr="003B02C1" w:rsidRDefault="00384CC5" w:rsidP="00384CC5">
      <w:pPr>
        <w:pStyle w:val="Header"/>
        <w:numPr>
          <w:ilvl w:val="0"/>
          <w:numId w:val="1"/>
        </w:numPr>
        <w:spacing w:after="1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w:t>
      </w:r>
    </w:p>
    <w:p w:rsidR="00384CC5" w:rsidRPr="003B02C1" w:rsidRDefault="00384CC5" w:rsidP="00384CC5">
      <w:pPr>
        <w:pStyle w:val="Header"/>
        <w:ind w:left="360"/>
        <w:jc w:val="both"/>
        <w:rPr>
          <w:rFonts w:ascii="Arial" w:hAnsi="Arial" w:cs="Arial"/>
          <w:color w:val="000000" w:themeColor="text1"/>
          <w:sz w:val="22"/>
          <w:szCs w:val="22"/>
        </w:rPr>
      </w:pPr>
    </w:p>
    <w:p w:rsidR="00DB63CD" w:rsidRDefault="00DB63CD" w:rsidP="00DB63CD">
      <w:pPr>
        <w:pStyle w:val="Header"/>
        <w:ind w:left="360"/>
        <w:jc w:val="both"/>
        <w:rPr>
          <w:rFonts w:ascii="Arial" w:hAnsi="Arial" w:cs="Arial"/>
          <w:color w:val="000000" w:themeColor="text1"/>
          <w:sz w:val="22"/>
          <w:szCs w:val="22"/>
        </w:rPr>
      </w:pPr>
      <w:r w:rsidRPr="00326492">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384CC5" w:rsidRPr="003B02C1" w:rsidRDefault="00384CC5" w:rsidP="00384CC5">
      <w:pPr>
        <w:jc w:val="both"/>
        <w:rPr>
          <w:rFonts w:ascii="Arial" w:hAnsi="Arial" w:cs="Arial"/>
          <w:color w:val="000000" w:themeColor="text1"/>
          <w:sz w:val="22"/>
          <w:szCs w:val="22"/>
        </w:rPr>
      </w:pPr>
    </w:p>
    <w:p w:rsidR="00384CC5" w:rsidRPr="003B02C1" w:rsidRDefault="00384CC5" w:rsidP="00384CC5">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Prior Period Adjustments</w:t>
      </w:r>
    </w:p>
    <w:p w:rsidR="00384CC5" w:rsidRPr="003B02C1" w:rsidRDefault="00384CC5" w:rsidP="00384CC5">
      <w:pPr>
        <w:ind w:left="360"/>
        <w:jc w:val="both"/>
        <w:rPr>
          <w:rFonts w:ascii="Arial" w:hAnsi="Arial" w:cs="Arial"/>
          <w:color w:val="000000" w:themeColor="text1"/>
          <w:sz w:val="22"/>
          <w:szCs w:val="22"/>
        </w:rPr>
      </w:pP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DSWD has determined transactions relating to the previous year which have cumulative effect on surplus/deficit of the prior year.</w:t>
      </w: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384CC5" w:rsidRPr="003B02C1" w:rsidRDefault="00384CC5" w:rsidP="00384CC5">
      <w:pPr>
        <w:jc w:val="both"/>
        <w:rPr>
          <w:rFonts w:ascii="Arial" w:hAnsi="Arial" w:cs="Arial"/>
          <w:b/>
          <w:color w:val="000000" w:themeColor="text1"/>
          <w:sz w:val="22"/>
          <w:szCs w:val="22"/>
        </w:rPr>
      </w:pPr>
    </w:p>
    <w:p w:rsidR="00384CC5" w:rsidRPr="003B02C1" w:rsidRDefault="00384CC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712ED7" w:rsidRPr="003B02C1" w:rsidRDefault="00712ED7"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19566D" w:rsidRPr="003B02C1" w:rsidRDefault="00613CD6" w:rsidP="001B0144">
      <w:pPr>
        <w:jc w:val="both"/>
        <w:rPr>
          <w:rFonts w:ascii="Arial" w:eastAsia="Arial" w:hAnsi="Arial" w:cs="Arial"/>
          <w:b/>
          <w:color w:val="000000" w:themeColor="text1"/>
          <w:sz w:val="22"/>
          <w:szCs w:val="22"/>
        </w:rPr>
      </w:pPr>
      <w:r w:rsidRPr="003B02C1">
        <w:rPr>
          <w:rFonts w:ascii="Arial" w:eastAsia="Arial" w:hAnsi="Arial" w:cs="Arial"/>
          <w:b/>
          <w:color w:val="000000" w:themeColor="text1"/>
          <w:sz w:val="22"/>
          <w:szCs w:val="22"/>
        </w:rPr>
        <w:lastRenderedPageBreak/>
        <w:t>6</w:t>
      </w:r>
      <w:r w:rsidR="00EC3318" w:rsidRPr="003B02C1">
        <w:rPr>
          <w:rFonts w:ascii="Arial" w:eastAsia="Arial" w:hAnsi="Arial" w:cs="Arial"/>
          <w:b/>
          <w:color w:val="000000" w:themeColor="text1"/>
          <w:sz w:val="22"/>
          <w:szCs w:val="22"/>
        </w:rPr>
        <w:t>. Property</w:t>
      </w:r>
      <w:r w:rsidR="001B0144" w:rsidRPr="003B02C1">
        <w:rPr>
          <w:rFonts w:ascii="Arial" w:eastAsia="Arial" w:hAnsi="Arial" w:cs="Arial"/>
          <w:b/>
          <w:color w:val="000000" w:themeColor="text1"/>
          <w:sz w:val="22"/>
          <w:szCs w:val="22"/>
        </w:rPr>
        <w:t>, Plant, and Equipment</w:t>
      </w:r>
    </w:p>
    <w:p w:rsidR="00BC0C28" w:rsidRPr="003B02C1" w:rsidRDefault="00BC0C28" w:rsidP="001B0144">
      <w:pPr>
        <w:jc w:val="both"/>
        <w:rPr>
          <w:rFonts w:ascii="Arial" w:eastAsia="Arial" w:hAnsi="Arial" w:cs="Arial"/>
          <w:b/>
          <w:color w:val="000000" w:themeColor="text1"/>
          <w:sz w:val="22"/>
          <w:szCs w:val="22"/>
        </w:rPr>
      </w:pPr>
    </w:p>
    <w:p w:rsidR="001B0144" w:rsidRPr="003B02C1" w:rsidRDefault="001B0144" w:rsidP="001B0144">
      <w:pPr>
        <w:ind w:firstLine="720"/>
        <w:jc w:val="both"/>
        <w:rPr>
          <w:rFonts w:ascii="Arial" w:eastAsia="Arial" w:hAnsi="Arial" w:cs="Arial"/>
          <w:bCs/>
          <w:color w:val="000000" w:themeColor="text1"/>
          <w:sz w:val="22"/>
          <w:szCs w:val="22"/>
        </w:rPr>
      </w:pPr>
      <w:r w:rsidRPr="003B02C1">
        <w:rPr>
          <w:rFonts w:ascii="Arial" w:eastAsia="Arial" w:hAnsi="Arial" w:cs="Arial"/>
          <w:b/>
          <w:color w:val="000000" w:themeColor="text1"/>
          <w:sz w:val="22"/>
          <w:szCs w:val="22"/>
        </w:rPr>
        <w:tab/>
      </w:r>
      <w:r w:rsidRPr="003B02C1">
        <w:rPr>
          <w:rFonts w:ascii="Arial" w:eastAsia="Arial" w:hAnsi="Arial" w:cs="Arial"/>
          <w:bCs/>
          <w:color w:val="000000" w:themeColor="text1"/>
          <w:sz w:val="22"/>
          <w:szCs w:val="22"/>
        </w:rPr>
        <w:t>Property,</w:t>
      </w:r>
      <w:r w:rsidR="00EC3318" w:rsidRPr="003B02C1">
        <w:rPr>
          <w:rFonts w:ascii="Arial" w:eastAsia="Arial" w:hAnsi="Arial" w:cs="Arial"/>
          <w:bCs/>
          <w:color w:val="000000" w:themeColor="text1"/>
          <w:sz w:val="22"/>
          <w:szCs w:val="22"/>
        </w:rPr>
        <w:t xml:space="preserve"> Plant and Equipment for CY </w:t>
      </w:r>
      <w:r w:rsidR="00277177">
        <w:rPr>
          <w:rFonts w:ascii="Arial" w:eastAsia="Arial" w:hAnsi="Arial" w:cs="Arial"/>
          <w:bCs/>
          <w:color w:val="000000" w:themeColor="text1"/>
          <w:sz w:val="22"/>
          <w:szCs w:val="22"/>
        </w:rPr>
        <w:t>2023</w:t>
      </w:r>
      <w:r w:rsidRPr="003B02C1">
        <w:rPr>
          <w:rFonts w:ascii="Arial" w:eastAsia="Arial" w:hAnsi="Arial" w:cs="Arial"/>
          <w:bCs/>
          <w:color w:val="000000" w:themeColor="text1"/>
          <w:sz w:val="22"/>
          <w:szCs w:val="22"/>
        </w:rPr>
        <w:t xml:space="preserve"> are summarized as follows:</w:t>
      </w:r>
    </w:p>
    <w:tbl>
      <w:tblPr>
        <w:tblpPr w:leftFromText="180" w:rightFromText="180" w:vertAnchor="text" w:horzAnchor="margin" w:tblpXSpec="center" w:tblpY="137"/>
        <w:tblW w:w="8589" w:type="dxa"/>
        <w:tblLook w:val="04A0" w:firstRow="1" w:lastRow="0" w:firstColumn="1" w:lastColumn="0" w:noHBand="0" w:noVBand="1"/>
      </w:tblPr>
      <w:tblGrid>
        <w:gridCol w:w="3544"/>
        <w:gridCol w:w="1623"/>
        <w:gridCol w:w="1709"/>
        <w:gridCol w:w="1713"/>
      </w:tblGrid>
      <w:tr w:rsidR="00277177" w:rsidRPr="003B02C1" w:rsidTr="00F831E7">
        <w:trPr>
          <w:trHeight w:val="628"/>
        </w:trPr>
        <w:tc>
          <w:tcPr>
            <w:tcW w:w="8589" w:type="dxa"/>
            <w:gridSpan w:val="4"/>
            <w:tcBorders>
              <w:top w:val="single" w:sz="8" w:space="0" w:color="auto"/>
              <w:left w:val="nil"/>
              <w:bottom w:val="single" w:sz="8" w:space="0" w:color="auto"/>
              <w:right w:val="nil"/>
            </w:tcBorders>
            <w:shd w:val="clear" w:color="auto" w:fill="auto"/>
            <w:noWrap/>
            <w:vAlign w:val="bottom"/>
            <w:hideMark/>
          </w:tcPr>
          <w:p w:rsidR="00277177" w:rsidRDefault="00277177" w:rsidP="00BC3579">
            <w:pPr>
              <w:jc w:val="center"/>
              <w:rPr>
                <w:rFonts w:ascii="Arial" w:hAnsi="Arial" w:cs="Arial"/>
                <w:b/>
                <w:bCs/>
                <w:color w:val="000000"/>
                <w:sz w:val="22"/>
                <w:szCs w:val="22"/>
                <w:lang w:val="en-US"/>
              </w:rPr>
            </w:pPr>
            <w:r w:rsidRPr="003B02C1">
              <w:rPr>
                <w:rFonts w:ascii="Arial" w:hAnsi="Arial" w:cs="Arial"/>
                <w:b/>
                <w:bCs/>
                <w:color w:val="000000"/>
                <w:sz w:val="22"/>
                <w:szCs w:val="22"/>
                <w:lang w:val="en-US"/>
              </w:rPr>
              <w:t>Transportation Equipment</w:t>
            </w:r>
          </w:p>
          <w:p w:rsidR="00277177" w:rsidRPr="003B02C1" w:rsidRDefault="00277177" w:rsidP="00BC3579">
            <w:pPr>
              <w:jc w:val="center"/>
              <w:rPr>
                <w:rFonts w:ascii="Arial" w:hAnsi="Arial" w:cs="Arial"/>
                <w:b/>
                <w:bCs/>
                <w:color w:val="000000"/>
                <w:sz w:val="22"/>
                <w:szCs w:val="22"/>
                <w:lang w:val="en-US"/>
              </w:rPr>
            </w:pPr>
          </w:p>
        </w:tc>
      </w:tr>
      <w:tr w:rsidR="00277177" w:rsidRPr="003B02C1" w:rsidTr="00F831E7">
        <w:trPr>
          <w:trHeight w:val="376"/>
        </w:trPr>
        <w:tc>
          <w:tcPr>
            <w:tcW w:w="3544" w:type="dxa"/>
            <w:tcBorders>
              <w:top w:val="nil"/>
              <w:left w:val="nil"/>
              <w:bottom w:val="nil"/>
              <w:right w:val="nil"/>
            </w:tcBorders>
            <w:shd w:val="clear" w:color="auto" w:fill="auto"/>
            <w:noWrap/>
            <w:vAlign w:val="bottom"/>
            <w:hideMark/>
          </w:tcPr>
          <w:p w:rsidR="00277177" w:rsidRPr="003B02C1" w:rsidRDefault="00277177" w:rsidP="00277177">
            <w:pPr>
              <w:rPr>
                <w:rFonts w:ascii="Arial" w:hAnsi="Arial" w:cs="Arial"/>
                <w:color w:val="000000"/>
                <w:sz w:val="22"/>
                <w:szCs w:val="22"/>
                <w:lang w:val="en-US"/>
              </w:rPr>
            </w:pPr>
          </w:p>
        </w:tc>
        <w:tc>
          <w:tcPr>
            <w:tcW w:w="1623" w:type="dxa"/>
            <w:tcBorders>
              <w:top w:val="nil"/>
              <w:left w:val="nil"/>
              <w:bottom w:val="nil"/>
              <w:right w:val="nil"/>
            </w:tcBorders>
            <w:shd w:val="clear" w:color="auto" w:fill="auto"/>
            <w:noWrap/>
            <w:vAlign w:val="bottom"/>
          </w:tcPr>
          <w:p w:rsidR="00277177" w:rsidRPr="003B02C1" w:rsidRDefault="00277177" w:rsidP="00277177">
            <w:pPr>
              <w:rPr>
                <w:rFonts w:ascii="Arial" w:hAnsi="Arial" w:cs="Arial"/>
                <w:b/>
                <w:color w:val="000000"/>
                <w:sz w:val="22"/>
                <w:szCs w:val="22"/>
                <w:lang w:val="en-US"/>
              </w:rPr>
            </w:pPr>
          </w:p>
        </w:tc>
        <w:tc>
          <w:tcPr>
            <w:tcW w:w="1709" w:type="dxa"/>
            <w:tcBorders>
              <w:top w:val="nil"/>
              <w:left w:val="nil"/>
              <w:bottom w:val="nil"/>
              <w:right w:val="nil"/>
            </w:tcBorders>
            <w:shd w:val="clear" w:color="auto" w:fill="auto"/>
            <w:noWrap/>
            <w:vAlign w:val="bottom"/>
            <w:hideMark/>
          </w:tcPr>
          <w:p w:rsidR="00277177" w:rsidRPr="003B02C1" w:rsidRDefault="00277177" w:rsidP="00F127BF">
            <w:pPr>
              <w:jc w:val="center"/>
              <w:rPr>
                <w:rFonts w:ascii="Arial" w:hAnsi="Arial" w:cs="Arial"/>
                <w:b/>
                <w:color w:val="000000"/>
                <w:sz w:val="22"/>
                <w:szCs w:val="22"/>
                <w:lang w:val="en-US"/>
              </w:rPr>
            </w:pPr>
            <w:r w:rsidRPr="003B02C1">
              <w:rPr>
                <w:rFonts w:ascii="Arial" w:hAnsi="Arial" w:cs="Arial"/>
                <w:b/>
                <w:color w:val="000000"/>
                <w:sz w:val="22"/>
                <w:szCs w:val="22"/>
                <w:lang w:val="en-US"/>
              </w:rPr>
              <w:t>202</w:t>
            </w:r>
            <w:r w:rsidR="00F127BF">
              <w:rPr>
                <w:rFonts w:ascii="Arial" w:hAnsi="Arial" w:cs="Arial"/>
                <w:b/>
                <w:color w:val="000000"/>
                <w:sz w:val="22"/>
                <w:szCs w:val="22"/>
                <w:lang w:val="en-US"/>
              </w:rPr>
              <w:t>3</w:t>
            </w:r>
          </w:p>
        </w:tc>
        <w:tc>
          <w:tcPr>
            <w:tcW w:w="1713" w:type="dxa"/>
            <w:tcBorders>
              <w:top w:val="nil"/>
              <w:left w:val="nil"/>
              <w:bottom w:val="nil"/>
              <w:right w:val="nil"/>
            </w:tcBorders>
            <w:vAlign w:val="bottom"/>
          </w:tcPr>
          <w:p w:rsidR="00277177" w:rsidRPr="003B02C1" w:rsidRDefault="00277177" w:rsidP="00277177">
            <w:pPr>
              <w:jc w:val="center"/>
              <w:rPr>
                <w:rFonts w:ascii="Arial" w:hAnsi="Arial" w:cs="Arial"/>
                <w:b/>
                <w:color w:val="000000"/>
                <w:sz w:val="22"/>
                <w:szCs w:val="22"/>
                <w:lang w:val="en-US"/>
              </w:rPr>
            </w:pPr>
            <w:r w:rsidRPr="003B02C1">
              <w:rPr>
                <w:rFonts w:ascii="Arial" w:hAnsi="Arial" w:cs="Arial"/>
                <w:b/>
                <w:color w:val="000000"/>
                <w:sz w:val="22"/>
                <w:szCs w:val="22"/>
                <w:lang w:val="en-US"/>
              </w:rPr>
              <w:t>2022</w:t>
            </w:r>
            <w:r>
              <w:rPr>
                <w:rFonts w:ascii="Arial" w:hAnsi="Arial" w:cs="Arial"/>
                <w:b/>
                <w:color w:val="000000"/>
                <w:sz w:val="22"/>
                <w:szCs w:val="22"/>
                <w:lang w:val="en-US"/>
              </w:rPr>
              <w:t xml:space="preserve"> as Restated</w:t>
            </w:r>
          </w:p>
        </w:tc>
      </w:tr>
      <w:tr w:rsidR="00277177" w:rsidRPr="003B02C1" w:rsidTr="00F831E7">
        <w:trPr>
          <w:trHeight w:val="409"/>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b/>
                <w:bCs/>
                <w:color w:val="000000"/>
                <w:sz w:val="22"/>
                <w:szCs w:val="22"/>
                <w:lang w:val="en-US"/>
              </w:rPr>
            </w:pPr>
          </w:p>
          <w:p w:rsidR="00277177" w:rsidRPr="003B02C1" w:rsidRDefault="00277177" w:rsidP="00277177">
            <w:pPr>
              <w:rPr>
                <w:rFonts w:ascii="Arial" w:hAnsi="Arial" w:cs="Arial"/>
                <w:b/>
                <w:bCs/>
                <w:color w:val="000000"/>
                <w:sz w:val="22"/>
                <w:szCs w:val="22"/>
                <w:lang w:val="en-US"/>
              </w:rPr>
            </w:pPr>
            <w:r w:rsidRPr="003B02C1">
              <w:rPr>
                <w:rFonts w:ascii="Arial" w:hAnsi="Arial" w:cs="Arial"/>
                <w:b/>
                <w:bCs/>
                <w:color w:val="000000"/>
                <w:sz w:val="22"/>
                <w:szCs w:val="22"/>
                <w:lang w:val="en-US"/>
              </w:rPr>
              <w:t>Carrying Amount, January 1, 2022 or Net Book Value</w:t>
            </w:r>
          </w:p>
        </w:tc>
        <w:tc>
          <w:tcPr>
            <w:tcW w:w="1623"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bCs/>
                <w:color w:val="000000"/>
                <w:sz w:val="22"/>
                <w:szCs w:val="22"/>
                <w:lang w:val="en-US"/>
              </w:rPr>
            </w:pPr>
          </w:p>
        </w:tc>
        <w:tc>
          <w:tcPr>
            <w:tcW w:w="1709" w:type="dxa"/>
            <w:tcBorders>
              <w:top w:val="nil"/>
              <w:left w:val="nil"/>
              <w:bottom w:val="nil"/>
              <w:right w:val="nil"/>
            </w:tcBorders>
            <w:shd w:val="clear" w:color="auto" w:fill="auto"/>
            <w:noWrap/>
            <w:vAlign w:val="center"/>
            <w:hideMark/>
          </w:tcPr>
          <w:p w:rsidR="00277177" w:rsidRPr="003B02C1" w:rsidRDefault="00277177" w:rsidP="00277177">
            <w:pPr>
              <w:jc w:val="right"/>
              <w:rPr>
                <w:rFonts w:ascii="Arial" w:hAnsi="Arial" w:cs="Arial"/>
                <w:bCs/>
                <w:color w:val="000000"/>
                <w:sz w:val="22"/>
                <w:szCs w:val="22"/>
                <w:lang w:val="en-US"/>
              </w:rPr>
            </w:pPr>
            <w:r>
              <w:rPr>
                <w:rFonts w:ascii="Arial" w:hAnsi="Arial" w:cs="Arial"/>
                <w:bCs/>
                <w:color w:val="000000"/>
                <w:sz w:val="22"/>
                <w:szCs w:val="22"/>
                <w:lang w:val="en-US"/>
              </w:rPr>
              <w:t>-</w:t>
            </w:r>
          </w:p>
        </w:tc>
        <w:tc>
          <w:tcPr>
            <w:tcW w:w="1713" w:type="dxa"/>
            <w:tcBorders>
              <w:top w:val="nil"/>
              <w:left w:val="nil"/>
              <w:bottom w:val="nil"/>
              <w:right w:val="nil"/>
            </w:tcBorders>
            <w:vAlign w:val="center"/>
          </w:tcPr>
          <w:p w:rsidR="00277177" w:rsidRPr="003B02C1" w:rsidRDefault="00F831E7" w:rsidP="00277177">
            <w:pPr>
              <w:jc w:val="right"/>
              <w:rPr>
                <w:rFonts w:ascii="Arial" w:hAnsi="Arial" w:cs="Arial"/>
                <w:bCs/>
                <w:color w:val="000000"/>
                <w:sz w:val="22"/>
                <w:szCs w:val="22"/>
                <w:lang w:val="en-US"/>
              </w:rPr>
            </w:pPr>
            <w:r>
              <w:rPr>
                <w:rFonts w:ascii="Arial" w:hAnsi="Arial" w:cs="Arial"/>
                <w:bCs/>
                <w:color w:val="000000"/>
                <w:sz w:val="22"/>
                <w:szCs w:val="22"/>
                <w:lang w:val="en-US"/>
              </w:rPr>
              <w:t>-</w:t>
            </w:r>
          </w:p>
        </w:tc>
      </w:tr>
      <w:tr w:rsidR="00277177" w:rsidRPr="003B02C1" w:rsidTr="00F831E7">
        <w:trPr>
          <w:trHeight w:val="273"/>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color w:val="000000"/>
                <w:sz w:val="22"/>
                <w:szCs w:val="22"/>
                <w:lang w:val="en-US"/>
              </w:rPr>
            </w:pPr>
            <w:r w:rsidRPr="003B02C1">
              <w:rPr>
                <w:rFonts w:ascii="Arial" w:hAnsi="Arial" w:cs="Arial"/>
                <w:color w:val="000000"/>
                <w:sz w:val="22"/>
                <w:szCs w:val="22"/>
                <w:lang w:val="en-US"/>
              </w:rPr>
              <w:t>Additions</w:t>
            </w:r>
          </w:p>
        </w:tc>
        <w:tc>
          <w:tcPr>
            <w:tcW w:w="1623"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13" w:type="dxa"/>
            <w:tcBorders>
              <w:top w:val="nil"/>
              <w:left w:val="nil"/>
              <w:bottom w:val="nil"/>
              <w:right w:val="nil"/>
            </w:tcBorders>
            <w:vAlign w:val="center"/>
          </w:tcPr>
          <w:p w:rsidR="00277177" w:rsidRPr="003B02C1" w:rsidRDefault="00277177" w:rsidP="00277177">
            <w:pPr>
              <w:jc w:val="right"/>
              <w:rPr>
                <w:rFonts w:ascii="Arial" w:hAnsi="Arial" w:cs="Arial"/>
                <w:color w:val="000000"/>
                <w:sz w:val="22"/>
                <w:szCs w:val="22"/>
                <w:lang w:val="en-US"/>
              </w:rPr>
            </w:pPr>
          </w:p>
        </w:tc>
      </w:tr>
      <w:tr w:rsidR="00277177" w:rsidRPr="003B02C1" w:rsidTr="00F831E7">
        <w:trPr>
          <w:trHeight w:val="423"/>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color w:val="000000"/>
                <w:sz w:val="22"/>
                <w:szCs w:val="22"/>
                <w:lang w:val="en-US"/>
              </w:rPr>
            </w:pPr>
            <w:r w:rsidRPr="003B02C1">
              <w:rPr>
                <w:rFonts w:ascii="Arial" w:hAnsi="Arial" w:cs="Arial"/>
                <w:color w:val="000000"/>
                <w:sz w:val="22"/>
                <w:szCs w:val="22"/>
                <w:lang w:val="en-US"/>
              </w:rPr>
              <w:t>Adjustments to PY Accumulated Surplus/Semi Expendables</w:t>
            </w:r>
          </w:p>
        </w:tc>
        <w:tc>
          <w:tcPr>
            <w:tcW w:w="1623" w:type="dxa"/>
            <w:tcBorders>
              <w:top w:val="nil"/>
              <w:left w:val="nil"/>
              <w:bottom w:val="single" w:sz="8" w:space="0" w:color="auto"/>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tcBorders>
              <w:top w:val="nil"/>
              <w:left w:val="nil"/>
              <w:bottom w:val="single" w:sz="8" w:space="0" w:color="auto"/>
              <w:right w:val="nil"/>
            </w:tcBorders>
            <w:shd w:val="clear" w:color="auto" w:fill="auto"/>
            <w:noWrap/>
            <w:vAlign w:val="center"/>
            <w:hideMark/>
          </w:tcPr>
          <w:p w:rsidR="00277177" w:rsidRPr="003B02C1" w:rsidRDefault="00277177" w:rsidP="00277177">
            <w:pPr>
              <w:jc w:val="right"/>
              <w:rPr>
                <w:rFonts w:ascii="Arial" w:hAnsi="Arial" w:cs="Arial"/>
                <w:color w:val="000000"/>
                <w:sz w:val="22"/>
                <w:szCs w:val="22"/>
                <w:lang w:val="en-US"/>
              </w:rPr>
            </w:pPr>
          </w:p>
        </w:tc>
        <w:tc>
          <w:tcPr>
            <w:tcW w:w="1713" w:type="dxa"/>
            <w:tcBorders>
              <w:top w:val="nil"/>
              <w:left w:val="nil"/>
              <w:bottom w:val="single" w:sz="8" w:space="0" w:color="auto"/>
              <w:right w:val="nil"/>
            </w:tcBorders>
            <w:vAlign w:val="center"/>
          </w:tcPr>
          <w:p w:rsidR="00277177" w:rsidRPr="003B02C1" w:rsidRDefault="00277177" w:rsidP="00277177">
            <w:pPr>
              <w:jc w:val="right"/>
              <w:rPr>
                <w:rFonts w:ascii="Arial" w:hAnsi="Arial" w:cs="Arial"/>
                <w:color w:val="000000"/>
                <w:sz w:val="22"/>
                <w:szCs w:val="22"/>
                <w:lang w:val="en-US"/>
              </w:rPr>
            </w:pPr>
          </w:p>
        </w:tc>
      </w:tr>
      <w:tr w:rsidR="00277177" w:rsidRPr="003B02C1" w:rsidTr="00F831E7">
        <w:trPr>
          <w:trHeight w:val="273"/>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b/>
                <w:bCs/>
                <w:color w:val="000000"/>
                <w:sz w:val="22"/>
                <w:szCs w:val="22"/>
                <w:lang w:val="en-US"/>
              </w:rPr>
            </w:pPr>
            <w:r w:rsidRPr="003B02C1">
              <w:rPr>
                <w:rFonts w:ascii="Arial" w:hAnsi="Arial" w:cs="Arial"/>
                <w:b/>
                <w:bCs/>
                <w:color w:val="000000"/>
                <w:sz w:val="22"/>
                <w:szCs w:val="22"/>
                <w:lang w:val="en-US"/>
              </w:rPr>
              <w:t>Total</w:t>
            </w:r>
          </w:p>
        </w:tc>
        <w:tc>
          <w:tcPr>
            <w:tcW w:w="1623"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tcBorders>
              <w:top w:val="nil"/>
              <w:left w:val="nil"/>
              <w:bottom w:val="nil"/>
              <w:right w:val="nil"/>
            </w:tcBorders>
            <w:shd w:val="clear" w:color="auto" w:fill="auto"/>
            <w:noWrap/>
            <w:vAlign w:val="center"/>
            <w:hideMark/>
          </w:tcPr>
          <w:p w:rsidR="00277177" w:rsidRPr="003B02C1" w:rsidRDefault="00277177" w:rsidP="00277177">
            <w:pPr>
              <w:jc w:val="right"/>
              <w:rPr>
                <w:rFonts w:ascii="Arial" w:hAnsi="Arial" w:cs="Arial"/>
                <w:color w:val="000000"/>
                <w:sz w:val="22"/>
                <w:szCs w:val="22"/>
                <w:lang w:val="en-US"/>
              </w:rPr>
            </w:pPr>
            <w:r>
              <w:rPr>
                <w:rFonts w:ascii="Arial" w:hAnsi="Arial" w:cs="Arial"/>
                <w:b/>
                <w:bCs/>
                <w:color w:val="000000"/>
                <w:sz w:val="22"/>
                <w:szCs w:val="22"/>
                <w:lang w:val="en-US"/>
              </w:rPr>
              <w:t>-</w:t>
            </w:r>
          </w:p>
        </w:tc>
        <w:tc>
          <w:tcPr>
            <w:tcW w:w="1713" w:type="dxa"/>
            <w:tcBorders>
              <w:top w:val="nil"/>
              <w:left w:val="nil"/>
              <w:right w:val="nil"/>
            </w:tcBorders>
            <w:vAlign w:val="center"/>
          </w:tcPr>
          <w:p w:rsidR="00277177" w:rsidRPr="003B02C1" w:rsidRDefault="00F831E7" w:rsidP="00277177">
            <w:pPr>
              <w:jc w:val="right"/>
              <w:rPr>
                <w:rFonts w:ascii="Arial" w:hAnsi="Arial" w:cs="Arial"/>
                <w:color w:val="000000"/>
                <w:sz w:val="22"/>
                <w:szCs w:val="22"/>
                <w:lang w:val="en-US"/>
              </w:rPr>
            </w:pPr>
            <w:r>
              <w:rPr>
                <w:rFonts w:ascii="Arial" w:hAnsi="Arial" w:cs="Arial"/>
                <w:b/>
                <w:bCs/>
                <w:color w:val="000000"/>
                <w:sz w:val="22"/>
                <w:szCs w:val="22"/>
                <w:lang w:val="en-US"/>
              </w:rPr>
              <w:t>-</w:t>
            </w:r>
          </w:p>
        </w:tc>
      </w:tr>
      <w:tr w:rsidR="00277177" w:rsidRPr="003B02C1" w:rsidTr="00F831E7">
        <w:trPr>
          <w:trHeight w:val="273"/>
        </w:trPr>
        <w:tc>
          <w:tcPr>
            <w:tcW w:w="3544" w:type="dxa"/>
            <w:vMerge w:val="restart"/>
            <w:tcBorders>
              <w:top w:val="nil"/>
              <w:left w:val="nil"/>
              <w:bottom w:val="nil"/>
              <w:right w:val="nil"/>
            </w:tcBorders>
            <w:shd w:val="clear" w:color="auto" w:fill="auto"/>
            <w:vAlign w:val="center"/>
            <w:hideMark/>
          </w:tcPr>
          <w:p w:rsidR="00277177" w:rsidRPr="003B02C1" w:rsidRDefault="00277177" w:rsidP="00277177">
            <w:pPr>
              <w:rPr>
                <w:rFonts w:ascii="Arial" w:hAnsi="Arial" w:cs="Arial"/>
                <w:color w:val="000000"/>
                <w:sz w:val="22"/>
                <w:szCs w:val="22"/>
                <w:lang w:val="en-US"/>
              </w:rPr>
            </w:pPr>
            <w:r w:rsidRPr="003B02C1">
              <w:rPr>
                <w:rFonts w:ascii="Arial" w:hAnsi="Arial" w:cs="Arial"/>
                <w:color w:val="000000"/>
                <w:sz w:val="22"/>
                <w:szCs w:val="22"/>
                <w:lang w:val="en-US"/>
              </w:rPr>
              <w:t>Depreciation</w:t>
            </w:r>
          </w:p>
          <w:p w:rsidR="00277177" w:rsidRPr="003B02C1" w:rsidRDefault="00277177" w:rsidP="00277177">
            <w:pPr>
              <w:rPr>
                <w:rFonts w:ascii="Arial" w:hAnsi="Arial" w:cs="Arial"/>
                <w:color w:val="000000"/>
                <w:sz w:val="22"/>
                <w:szCs w:val="22"/>
                <w:lang w:val="en-US"/>
              </w:rPr>
            </w:pPr>
          </w:p>
        </w:tc>
        <w:tc>
          <w:tcPr>
            <w:tcW w:w="1623" w:type="dxa"/>
            <w:vMerge w:val="restart"/>
            <w:tcBorders>
              <w:top w:val="nil"/>
              <w:left w:val="nil"/>
              <w:bottom w:val="single" w:sz="8" w:space="0" w:color="000000"/>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vMerge w:val="restart"/>
            <w:tcBorders>
              <w:top w:val="nil"/>
              <w:left w:val="nil"/>
              <w:bottom w:val="single" w:sz="8" w:space="0" w:color="000000"/>
              <w:right w:val="nil"/>
            </w:tcBorders>
            <w:shd w:val="clear" w:color="auto" w:fill="auto"/>
            <w:noWrap/>
            <w:vAlign w:val="center"/>
            <w:hideMark/>
          </w:tcPr>
          <w:p w:rsidR="00277177" w:rsidRPr="003B02C1" w:rsidRDefault="00277177" w:rsidP="00277177">
            <w:pPr>
              <w:jc w:val="right"/>
              <w:rPr>
                <w:rFonts w:ascii="Arial" w:hAnsi="Arial" w:cs="Arial"/>
                <w:color w:val="000000"/>
                <w:sz w:val="22"/>
                <w:szCs w:val="22"/>
                <w:lang w:val="en-US"/>
              </w:rPr>
            </w:pPr>
            <w:r>
              <w:rPr>
                <w:rFonts w:ascii="Arial" w:hAnsi="Arial" w:cs="Arial"/>
                <w:color w:val="000000"/>
                <w:sz w:val="22"/>
                <w:szCs w:val="22"/>
                <w:lang w:val="en-US"/>
              </w:rPr>
              <w:t>-</w:t>
            </w:r>
          </w:p>
        </w:tc>
        <w:tc>
          <w:tcPr>
            <w:tcW w:w="1713" w:type="dxa"/>
            <w:tcBorders>
              <w:top w:val="nil"/>
              <w:left w:val="nil"/>
              <w:right w:val="nil"/>
            </w:tcBorders>
            <w:vAlign w:val="center"/>
          </w:tcPr>
          <w:p w:rsidR="00277177" w:rsidRDefault="00277177" w:rsidP="00277177">
            <w:pPr>
              <w:jc w:val="right"/>
              <w:rPr>
                <w:rFonts w:ascii="Arial" w:hAnsi="Arial" w:cs="Arial"/>
                <w:color w:val="000000"/>
                <w:sz w:val="22"/>
                <w:szCs w:val="22"/>
                <w:lang w:val="en-US"/>
              </w:rPr>
            </w:pPr>
          </w:p>
          <w:p w:rsidR="00277177" w:rsidRPr="003B02C1" w:rsidRDefault="00F831E7" w:rsidP="00277177">
            <w:pPr>
              <w:jc w:val="right"/>
              <w:rPr>
                <w:rFonts w:ascii="Arial" w:hAnsi="Arial" w:cs="Arial"/>
                <w:color w:val="000000"/>
                <w:sz w:val="22"/>
                <w:szCs w:val="22"/>
                <w:lang w:val="en-US"/>
              </w:rPr>
            </w:pPr>
            <w:r>
              <w:rPr>
                <w:rFonts w:ascii="Arial" w:hAnsi="Arial" w:cs="Arial"/>
                <w:color w:val="000000"/>
                <w:sz w:val="22"/>
                <w:szCs w:val="22"/>
                <w:lang w:val="en-US"/>
              </w:rPr>
              <w:t>-</w:t>
            </w:r>
          </w:p>
          <w:p w:rsidR="00277177" w:rsidRPr="003B02C1" w:rsidRDefault="00277177" w:rsidP="00277177">
            <w:pPr>
              <w:jc w:val="right"/>
              <w:rPr>
                <w:rFonts w:ascii="Arial" w:hAnsi="Arial" w:cs="Arial"/>
                <w:color w:val="000000"/>
                <w:sz w:val="22"/>
                <w:szCs w:val="22"/>
                <w:lang w:val="en-US"/>
              </w:rPr>
            </w:pPr>
          </w:p>
        </w:tc>
      </w:tr>
      <w:tr w:rsidR="00277177" w:rsidRPr="003B02C1" w:rsidTr="00F831E7">
        <w:trPr>
          <w:trHeight w:val="470"/>
        </w:trPr>
        <w:tc>
          <w:tcPr>
            <w:tcW w:w="3544" w:type="dxa"/>
            <w:vMerge/>
            <w:tcBorders>
              <w:top w:val="nil"/>
              <w:left w:val="nil"/>
              <w:bottom w:val="nil"/>
              <w:right w:val="nil"/>
            </w:tcBorders>
            <w:vAlign w:val="center"/>
            <w:hideMark/>
          </w:tcPr>
          <w:p w:rsidR="00277177" w:rsidRPr="003B02C1" w:rsidRDefault="00277177" w:rsidP="00277177">
            <w:pPr>
              <w:rPr>
                <w:rFonts w:ascii="Arial" w:hAnsi="Arial" w:cs="Arial"/>
                <w:color w:val="000000"/>
                <w:sz w:val="22"/>
                <w:szCs w:val="22"/>
                <w:lang w:val="en-US"/>
              </w:rPr>
            </w:pPr>
          </w:p>
        </w:tc>
        <w:tc>
          <w:tcPr>
            <w:tcW w:w="1623" w:type="dxa"/>
            <w:vMerge/>
            <w:tcBorders>
              <w:top w:val="nil"/>
              <w:left w:val="nil"/>
              <w:bottom w:val="single" w:sz="8" w:space="0" w:color="000000"/>
              <w:right w:val="nil"/>
            </w:tcBorders>
            <w:vAlign w:val="center"/>
          </w:tcPr>
          <w:p w:rsidR="00277177" w:rsidRPr="003B02C1" w:rsidRDefault="00277177" w:rsidP="00277177">
            <w:pPr>
              <w:rPr>
                <w:rFonts w:ascii="Arial" w:hAnsi="Arial" w:cs="Arial"/>
                <w:color w:val="000000"/>
                <w:sz w:val="22"/>
                <w:szCs w:val="22"/>
                <w:lang w:val="en-US"/>
              </w:rPr>
            </w:pPr>
          </w:p>
        </w:tc>
        <w:tc>
          <w:tcPr>
            <w:tcW w:w="1709" w:type="dxa"/>
            <w:vMerge/>
            <w:tcBorders>
              <w:top w:val="nil"/>
              <w:left w:val="nil"/>
              <w:bottom w:val="single" w:sz="8" w:space="0" w:color="000000"/>
              <w:right w:val="nil"/>
            </w:tcBorders>
            <w:vAlign w:val="center"/>
            <w:hideMark/>
          </w:tcPr>
          <w:p w:rsidR="00277177" w:rsidRPr="003B02C1" w:rsidRDefault="00277177" w:rsidP="00277177">
            <w:pPr>
              <w:rPr>
                <w:rFonts w:ascii="Arial" w:hAnsi="Arial" w:cs="Arial"/>
                <w:color w:val="000000"/>
                <w:sz w:val="22"/>
                <w:szCs w:val="22"/>
                <w:lang w:val="en-US"/>
              </w:rPr>
            </w:pPr>
          </w:p>
        </w:tc>
        <w:tc>
          <w:tcPr>
            <w:tcW w:w="1713" w:type="dxa"/>
            <w:tcBorders>
              <w:left w:val="nil"/>
              <w:bottom w:val="single" w:sz="8" w:space="0" w:color="000000"/>
              <w:right w:val="nil"/>
            </w:tcBorders>
            <w:vAlign w:val="center"/>
          </w:tcPr>
          <w:p w:rsidR="00277177" w:rsidRPr="003B02C1" w:rsidRDefault="00277177" w:rsidP="00277177">
            <w:pPr>
              <w:rPr>
                <w:rFonts w:ascii="Arial" w:hAnsi="Arial" w:cs="Arial"/>
                <w:color w:val="000000"/>
                <w:sz w:val="22"/>
                <w:szCs w:val="22"/>
                <w:lang w:val="en-US"/>
              </w:rPr>
            </w:pPr>
          </w:p>
        </w:tc>
      </w:tr>
      <w:tr w:rsidR="00277177" w:rsidRPr="003B02C1" w:rsidTr="00F831E7">
        <w:trPr>
          <w:trHeight w:val="286"/>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b/>
                <w:bCs/>
                <w:color w:val="000000"/>
                <w:sz w:val="22"/>
                <w:szCs w:val="22"/>
                <w:lang w:val="en-US"/>
              </w:rPr>
            </w:pPr>
            <w:r w:rsidRPr="003B02C1">
              <w:rPr>
                <w:rFonts w:ascii="Arial" w:hAnsi="Arial" w:cs="Arial"/>
                <w:b/>
                <w:bCs/>
                <w:color w:val="000000"/>
                <w:sz w:val="22"/>
                <w:szCs w:val="22"/>
                <w:lang w:val="en-US"/>
              </w:rPr>
              <w:t>Carrying Amount, December 31, 2022</w:t>
            </w:r>
          </w:p>
          <w:p w:rsidR="00277177" w:rsidRPr="003B02C1" w:rsidRDefault="00277177" w:rsidP="00277177">
            <w:pPr>
              <w:rPr>
                <w:rFonts w:ascii="Arial" w:hAnsi="Arial" w:cs="Arial"/>
                <w:b/>
                <w:bCs/>
                <w:color w:val="000000"/>
                <w:sz w:val="22"/>
                <w:szCs w:val="22"/>
                <w:lang w:val="en-US"/>
              </w:rPr>
            </w:pPr>
          </w:p>
        </w:tc>
        <w:tc>
          <w:tcPr>
            <w:tcW w:w="1623" w:type="dxa"/>
            <w:tcBorders>
              <w:top w:val="nil"/>
              <w:left w:val="nil"/>
              <w:bottom w:val="double" w:sz="6" w:space="0" w:color="auto"/>
              <w:right w:val="nil"/>
            </w:tcBorders>
            <w:shd w:val="clear" w:color="auto" w:fill="auto"/>
            <w:noWrap/>
            <w:vAlign w:val="center"/>
          </w:tcPr>
          <w:p w:rsidR="00277177" w:rsidRPr="003B02C1" w:rsidRDefault="00277177" w:rsidP="00277177">
            <w:pPr>
              <w:jc w:val="right"/>
              <w:rPr>
                <w:rFonts w:ascii="Arial" w:hAnsi="Arial" w:cs="Arial"/>
                <w:b/>
                <w:bCs/>
                <w:color w:val="000000"/>
                <w:sz w:val="22"/>
                <w:szCs w:val="22"/>
                <w:lang w:val="en-US"/>
              </w:rPr>
            </w:pPr>
          </w:p>
        </w:tc>
        <w:tc>
          <w:tcPr>
            <w:tcW w:w="1709" w:type="dxa"/>
            <w:tcBorders>
              <w:top w:val="nil"/>
              <w:left w:val="nil"/>
              <w:bottom w:val="double" w:sz="6" w:space="0" w:color="auto"/>
              <w:right w:val="nil"/>
            </w:tcBorders>
            <w:shd w:val="clear" w:color="auto" w:fill="auto"/>
            <w:noWrap/>
            <w:vAlign w:val="center"/>
            <w:hideMark/>
          </w:tcPr>
          <w:p w:rsidR="00277177" w:rsidRPr="003B02C1" w:rsidRDefault="00277177" w:rsidP="00277177">
            <w:pPr>
              <w:jc w:val="right"/>
              <w:rPr>
                <w:rFonts w:ascii="Arial" w:hAnsi="Arial" w:cs="Arial"/>
                <w:b/>
                <w:bCs/>
                <w:color w:val="000000"/>
                <w:sz w:val="22"/>
                <w:szCs w:val="22"/>
                <w:lang w:val="en-US"/>
              </w:rPr>
            </w:pPr>
            <w:r>
              <w:rPr>
                <w:rFonts w:ascii="Arial" w:hAnsi="Arial" w:cs="Arial"/>
                <w:b/>
                <w:bCs/>
                <w:color w:val="000000"/>
                <w:sz w:val="22"/>
                <w:szCs w:val="22"/>
                <w:lang w:val="en-US"/>
              </w:rPr>
              <w:t>-</w:t>
            </w:r>
          </w:p>
        </w:tc>
        <w:tc>
          <w:tcPr>
            <w:tcW w:w="1713" w:type="dxa"/>
            <w:tcBorders>
              <w:top w:val="nil"/>
              <w:left w:val="nil"/>
              <w:bottom w:val="double" w:sz="6" w:space="0" w:color="auto"/>
              <w:right w:val="nil"/>
            </w:tcBorders>
            <w:vAlign w:val="center"/>
          </w:tcPr>
          <w:p w:rsidR="00277177" w:rsidRPr="003B02C1" w:rsidRDefault="00F831E7" w:rsidP="00277177">
            <w:pPr>
              <w:jc w:val="right"/>
              <w:rPr>
                <w:rFonts w:ascii="Arial" w:hAnsi="Arial" w:cs="Arial"/>
                <w:b/>
                <w:bCs/>
                <w:color w:val="000000"/>
                <w:sz w:val="22"/>
                <w:szCs w:val="22"/>
                <w:lang w:val="en-US"/>
              </w:rPr>
            </w:pPr>
            <w:r>
              <w:rPr>
                <w:rFonts w:ascii="Arial" w:hAnsi="Arial" w:cs="Arial"/>
                <w:b/>
                <w:bCs/>
                <w:color w:val="000000"/>
                <w:sz w:val="22"/>
                <w:szCs w:val="22"/>
                <w:lang w:val="en-US"/>
              </w:rPr>
              <w:t>-</w:t>
            </w:r>
          </w:p>
        </w:tc>
      </w:tr>
      <w:tr w:rsidR="00277177" w:rsidRPr="003B02C1" w:rsidTr="00F831E7">
        <w:trPr>
          <w:trHeight w:val="286"/>
        </w:trPr>
        <w:tc>
          <w:tcPr>
            <w:tcW w:w="3544" w:type="dxa"/>
            <w:tcBorders>
              <w:top w:val="nil"/>
              <w:left w:val="nil"/>
              <w:bottom w:val="nil"/>
              <w:right w:val="nil"/>
            </w:tcBorders>
            <w:shd w:val="clear" w:color="auto" w:fill="auto"/>
            <w:vAlign w:val="bottom"/>
            <w:hideMark/>
          </w:tcPr>
          <w:p w:rsidR="00277177" w:rsidRPr="003B02C1" w:rsidRDefault="00277177" w:rsidP="00277177">
            <w:pPr>
              <w:rPr>
                <w:rFonts w:ascii="Arial" w:hAnsi="Arial" w:cs="Arial"/>
                <w:color w:val="000000"/>
                <w:sz w:val="22"/>
                <w:szCs w:val="22"/>
                <w:lang w:val="en-US"/>
              </w:rPr>
            </w:pPr>
          </w:p>
        </w:tc>
        <w:tc>
          <w:tcPr>
            <w:tcW w:w="1623" w:type="dxa"/>
            <w:tcBorders>
              <w:top w:val="nil"/>
              <w:left w:val="nil"/>
              <w:bottom w:val="nil"/>
              <w:right w:val="nil"/>
            </w:tcBorders>
            <w:shd w:val="clear" w:color="auto" w:fill="auto"/>
            <w:noWrap/>
            <w:vAlign w:val="bottom"/>
          </w:tcPr>
          <w:p w:rsidR="00277177" w:rsidRPr="003B02C1" w:rsidRDefault="00277177" w:rsidP="00277177">
            <w:pPr>
              <w:rPr>
                <w:rFonts w:ascii="Arial" w:hAnsi="Arial" w:cs="Arial"/>
                <w:color w:val="000000"/>
                <w:sz w:val="22"/>
                <w:szCs w:val="22"/>
                <w:lang w:val="en-US"/>
              </w:rPr>
            </w:pPr>
          </w:p>
        </w:tc>
        <w:tc>
          <w:tcPr>
            <w:tcW w:w="1709" w:type="dxa"/>
            <w:tcBorders>
              <w:top w:val="nil"/>
              <w:left w:val="nil"/>
              <w:bottom w:val="nil"/>
              <w:right w:val="nil"/>
            </w:tcBorders>
            <w:shd w:val="clear" w:color="auto" w:fill="auto"/>
            <w:noWrap/>
            <w:vAlign w:val="bottom"/>
            <w:hideMark/>
          </w:tcPr>
          <w:p w:rsidR="00277177" w:rsidRPr="003B02C1" w:rsidRDefault="00277177" w:rsidP="00277177">
            <w:pPr>
              <w:rPr>
                <w:rFonts w:ascii="Arial" w:hAnsi="Arial" w:cs="Arial"/>
                <w:color w:val="000000"/>
                <w:sz w:val="22"/>
                <w:szCs w:val="22"/>
                <w:lang w:val="en-US"/>
              </w:rPr>
            </w:pPr>
          </w:p>
        </w:tc>
        <w:tc>
          <w:tcPr>
            <w:tcW w:w="1713" w:type="dxa"/>
            <w:tcBorders>
              <w:top w:val="nil"/>
              <w:left w:val="nil"/>
              <w:bottom w:val="nil"/>
              <w:right w:val="nil"/>
            </w:tcBorders>
            <w:vAlign w:val="bottom"/>
          </w:tcPr>
          <w:p w:rsidR="00277177" w:rsidRPr="003B02C1" w:rsidRDefault="00277177" w:rsidP="00277177">
            <w:pPr>
              <w:rPr>
                <w:rFonts w:ascii="Arial" w:hAnsi="Arial" w:cs="Arial"/>
                <w:color w:val="000000"/>
                <w:sz w:val="22"/>
                <w:szCs w:val="22"/>
                <w:lang w:val="en-US"/>
              </w:rPr>
            </w:pPr>
          </w:p>
        </w:tc>
      </w:tr>
      <w:tr w:rsidR="00277177" w:rsidRPr="003B02C1" w:rsidTr="00F831E7">
        <w:trPr>
          <w:trHeight w:val="273"/>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color w:val="000000"/>
                <w:sz w:val="22"/>
                <w:szCs w:val="22"/>
                <w:lang w:val="en-US"/>
              </w:rPr>
            </w:pPr>
            <w:r w:rsidRPr="003B02C1">
              <w:rPr>
                <w:rFonts w:ascii="Arial" w:hAnsi="Arial" w:cs="Arial"/>
                <w:color w:val="000000"/>
                <w:sz w:val="22"/>
                <w:szCs w:val="22"/>
                <w:lang w:val="en-US"/>
              </w:rPr>
              <w:t>Gross Cost</w:t>
            </w:r>
          </w:p>
        </w:tc>
        <w:tc>
          <w:tcPr>
            <w:tcW w:w="1623"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tcBorders>
              <w:top w:val="nil"/>
              <w:left w:val="nil"/>
              <w:bottom w:val="nil"/>
              <w:right w:val="nil"/>
            </w:tcBorders>
            <w:shd w:val="clear" w:color="auto" w:fill="auto"/>
            <w:noWrap/>
            <w:vAlign w:val="center"/>
            <w:hideMark/>
          </w:tcPr>
          <w:p w:rsidR="00277177" w:rsidRPr="003B02C1" w:rsidRDefault="00277177" w:rsidP="00277177">
            <w:pPr>
              <w:jc w:val="right"/>
              <w:rPr>
                <w:rFonts w:ascii="Arial" w:hAnsi="Arial" w:cs="Arial"/>
                <w:color w:val="000000"/>
                <w:sz w:val="22"/>
                <w:szCs w:val="22"/>
                <w:lang w:val="en-US"/>
              </w:rPr>
            </w:pPr>
            <w:r>
              <w:rPr>
                <w:rFonts w:ascii="Arial" w:hAnsi="Arial" w:cs="Arial"/>
                <w:color w:val="000000"/>
                <w:sz w:val="22"/>
                <w:szCs w:val="22"/>
                <w:lang w:val="en-US"/>
              </w:rPr>
              <w:t>-</w:t>
            </w:r>
          </w:p>
        </w:tc>
        <w:tc>
          <w:tcPr>
            <w:tcW w:w="1713" w:type="dxa"/>
            <w:tcBorders>
              <w:top w:val="nil"/>
              <w:left w:val="nil"/>
              <w:bottom w:val="nil"/>
              <w:right w:val="nil"/>
            </w:tcBorders>
            <w:vAlign w:val="center"/>
          </w:tcPr>
          <w:p w:rsidR="00277177" w:rsidRPr="003B02C1" w:rsidRDefault="00F831E7" w:rsidP="00277177">
            <w:pPr>
              <w:jc w:val="right"/>
              <w:rPr>
                <w:rFonts w:ascii="Arial" w:hAnsi="Arial" w:cs="Arial"/>
                <w:color w:val="000000"/>
                <w:sz w:val="22"/>
                <w:szCs w:val="22"/>
                <w:lang w:val="en-US"/>
              </w:rPr>
            </w:pPr>
            <w:r>
              <w:rPr>
                <w:rFonts w:ascii="Arial" w:hAnsi="Arial" w:cs="Arial"/>
                <w:color w:val="000000"/>
                <w:sz w:val="22"/>
                <w:szCs w:val="22"/>
                <w:lang w:val="en-US"/>
              </w:rPr>
              <w:t>-</w:t>
            </w:r>
          </w:p>
        </w:tc>
      </w:tr>
      <w:tr w:rsidR="00277177" w:rsidRPr="003B02C1" w:rsidTr="00F831E7">
        <w:trPr>
          <w:trHeight w:val="286"/>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color w:val="000000"/>
                <w:sz w:val="22"/>
                <w:szCs w:val="22"/>
                <w:lang w:val="en-US"/>
              </w:rPr>
            </w:pPr>
            <w:r w:rsidRPr="003B02C1">
              <w:rPr>
                <w:rFonts w:ascii="Arial" w:hAnsi="Arial" w:cs="Arial"/>
                <w:color w:val="000000"/>
                <w:sz w:val="22"/>
                <w:szCs w:val="22"/>
                <w:lang w:val="en-US"/>
              </w:rPr>
              <w:t>Less: Accumulated Depreciation</w:t>
            </w:r>
          </w:p>
        </w:tc>
        <w:tc>
          <w:tcPr>
            <w:tcW w:w="1623" w:type="dxa"/>
            <w:tcBorders>
              <w:top w:val="nil"/>
              <w:left w:val="nil"/>
              <w:bottom w:val="nil"/>
              <w:right w:val="nil"/>
            </w:tcBorders>
            <w:shd w:val="clear" w:color="auto" w:fill="auto"/>
            <w:noWrap/>
            <w:vAlign w:val="center"/>
          </w:tcPr>
          <w:p w:rsidR="00277177" w:rsidRPr="003B02C1" w:rsidRDefault="00277177" w:rsidP="00277177">
            <w:pPr>
              <w:jc w:val="right"/>
              <w:rPr>
                <w:rFonts w:ascii="Arial" w:hAnsi="Arial" w:cs="Arial"/>
                <w:color w:val="000000"/>
                <w:sz w:val="22"/>
                <w:szCs w:val="22"/>
                <w:lang w:val="en-US"/>
              </w:rPr>
            </w:pPr>
          </w:p>
        </w:tc>
        <w:tc>
          <w:tcPr>
            <w:tcW w:w="1709" w:type="dxa"/>
            <w:tcBorders>
              <w:top w:val="nil"/>
              <w:left w:val="nil"/>
              <w:bottom w:val="nil"/>
              <w:right w:val="nil"/>
            </w:tcBorders>
            <w:shd w:val="clear" w:color="auto" w:fill="auto"/>
            <w:noWrap/>
            <w:vAlign w:val="center"/>
            <w:hideMark/>
          </w:tcPr>
          <w:p w:rsidR="00277177" w:rsidRPr="003B02C1" w:rsidRDefault="00277177" w:rsidP="00277177">
            <w:pPr>
              <w:jc w:val="right"/>
              <w:rPr>
                <w:rFonts w:ascii="Arial" w:hAnsi="Arial" w:cs="Arial"/>
                <w:color w:val="000000"/>
                <w:sz w:val="22"/>
                <w:szCs w:val="22"/>
                <w:lang w:val="en-US"/>
              </w:rPr>
            </w:pPr>
            <w:r>
              <w:rPr>
                <w:rFonts w:ascii="Arial" w:hAnsi="Arial" w:cs="Arial"/>
                <w:color w:val="000000"/>
                <w:sz w:val="22"/>
                <w:szCs w:val="22"/>
                <w:lang w:val="en-US"/>
              </w:rPr>
              <w:t>-</w:t>
            </w:r>
          </w:p>
        </w:tc>
        <w:tc>
          <w:tcPr>
            <w:tcW w:w="1713" w:type="dxa"/>
            <w:tcBorders>
              <w:top w:val="nil"/>
              <w:left w:val="nil"/>
              <w:bottom w:val="nil"/>
              <w:right w:val="nil"/>
            </w:tcBorders>
            <w:vAlign w:val="center"/>
          </w:tcPr>
          <w:p w:rsidR="00277177" w:rsidRPr="003B02C1" w:rsidRDefault="00F831E7" w:rsidP="00277177">
            <w:pPr>
              <w:jc w:val="right"/>
              <w:rPr>
                <w:rFonts w:ascii="Arial" w:hAnsi="Arial" w:cs="Arial"/>
                <w:color w:val="000000"/>
                <w:sz w:val="22"/>
                <w:szCs w:val="22"/>
                <w:lang w:val="en-US"/>
              </w:rPr>
            </w:pPr>
            <w:r>
              <w:rPr>
                <w:rFonts w:ascii="Arial" w:hAnsi="Arial" w:cs="Arial"/>
                <w:color w:val="000000"/>
                <w:sz w:val="22"/>
                <w:szCs w:val="22"/>
                <w:lang w:val="en-US"/>
              </w:rPr>
              <w:t>-</w:t>
            </w:r>
          </w:p>
        </w:tc>
      </w:tr>
      <w:tr w:rsidR="00277177" w:rsidRPr="003B02C1" w:rsidTr="00F831E7">
        <w:trPr>
          <w:trHeight w:val="286"/>
        </w:trPr>
        <w:tc>
          <w:tcPr>
            <w:tcW w:w="3544" w:type="dxa"/>
            <w:tcBorders>
              <w:top w:val="nil"/>
              <w:left w:val="nil"/>
              <w:bottom w:val="nil"/>
              <w:right w:val="nil"/>
            </w:tcBorders>
            <w:shd w:val="clear" w:color="auto" w:fill="auto"/>
            <w:vAlign w:val="center"/>
            <w:hideMark/>
          </w:tcPr>
          <w:p w:rsidR="00277177" w:rsidRPr="003B02C1" w:rsidRDefault="00277177" w:rsidP="00277177">
            <w:pPr>
              <w:rPr>
                <w:rFonts w:ascii="Arial" w:hAnsi="Arial" w:cs="Arial"/>
                <w:b/>
                <w:bCs/>
                <w:color w:val="000000"/>
                <w:sz w:val="22"/>
                <w:szCs w:val="22"/>
                <w:lang w:val="en-US"/>
              </w:rPr>
            </w:pPr>
            <w:r w:rsidRPr="003B02C1">
              <w:rPr>
                <w:rFonts w:ascii="Arial" w:hAnsi="Arial" w:cs="Arial"/>
                <w:b/>
                <w:bCs/>
                <w:color w:val="000000"/>
                <w:sz w:val="22"/>
                <w:szCs w:val="22"/>
                <w:lang w:val="en-US"/>
              </w:rPr>
              <w:t>Carrying Amount, December 31, 2022</w:t>
            </w:r>
          </w:p>
        </w:tc>
        <w:tc>
          <w:tcPr>
            <w:tcW w:w="1623" w:type="dxa"/>
            <w:tcBorders>
              <w:top w:val="single" w:sz="8" w:space="0" w:color="auto"/>
              <w:left w:val="nil"/>
              <w:bottom w:val="single" w:sz="8" w:space="0" w:color="auto"/>
              <w:right w:val="nil"/>
            </w:tcBorders>
            <w:shd w:val="clear" w:color="auto" w:fill="auto"/>
            <w:noWrap/>
            <w:vAlign w:val="center"/>
          </w:tcPr>
          <w:p w:rsidR="00277177" w:rsidRPr="003B02C1" w:rsidRDefault="00277177" w:rsidP="00277177">
            <w:pPr>
              <w:jc w:val="right"/>
              <w:rPr>
                <w:rFonts w:ascii="Arial" w:hAnsi="Arial" w:cs="Arial"/>
                <w:b/>
                <w:bCs/>
                <w:color w:val="000000"/>
                <w:sz w:val="22"/>
                <w:szCs w:val="22"/>
                <w:lang w:val="en-US"/>
              </w:rPr>
            </w:pPr>
          </w:p>
        </w:tc>
        <w:tc>
          <w:tcPr>
            <w:tcW w:w="1709" w:type="dxa"/>
            <w:tcBorders>
              <w:top w:val="single" w:sz="8" w:space="0" w:color="auto"/>
              <w:left w:val="nil"/>
              <w:bottom w:val="single" w:sz="8" w:space="0" w:color="auto"/>
              <w:right w:val="nil"/>
            </w:tcBorders>
            <w:shd w:val="clear" w:color="auto" w:fill="auto"/>
            <w:noWrap/>
            <w:vAlign w:val="center"/>
            <w:hideMark/>
          </w:tcPr>
          <w:p w:rsidR="00277177" w:rsidRPr="003B02C1" w:rsidRDefault="00277177" w:rsidP="00277177">
            <w:pPr>
              <w:jc w:val="right"/>
              <w:rPr>
                <w:rFonts w:ascii="Arial" w:hAnsi="Arial" w:cs="Arial"/>
                <w:b/>
                <w:bCs/>
                <w:color w:val="000000"/>
                <w:sz w:val="22"/>
                <w:szCs w:val="22"/>
                <w:lang w:val="en-US"/>
              </w:rPr>
            </w:pPr>
            <w:r>
              <w:rPr>
                <w:rFonts w:ascii="Arial" w:hAnsi="Arial" w:cs="Arial"/>
                <w:b/>
                <w:bCs/>
                <w:color w:val="000000"/>
                <w:sz w:val="22"/>
                <w:szCs w:val="22"/>
                <w:lang w:val="en-US"/>
              </w:rPr>
              <w:t>-</w:t>
            </w:r>
          </w:p>
        </w:tc>
        <w:tc>
          <w:tcPr>
            <w:tcW w:w="1713" w:type="dxa"/>
            <w:tcBorders>
              <w:top w:val="single" w:sz="8" w:space="0" w:color="auto"/>
              <w:left w:val="nil"/>
              <w:bottom w:val="single" w:sz="8" w:space="0" w:color="auto"/>
              <w:right w:val="nil"/>
            </w:tcBorders>
            <w:vAlign w:val="center"/>
          </w:tcPr>
          <w:p w:rsidR="00277177" w:rsidRPr="003B02C1" w:rsidRDefault="00F831E7" w:rsidP="00277177">
            <w:pPr>
              <w:jc w:val="right"/>
              <w:rPr>
                <w:rFonts w:ascii="Arial" w:hAnsi="Arial" w:cs="Arial"/>
                <w:b/>
                <w:bCs/>
                <w:color w:val="000000"/>
                <w:sz w:val="22"/>
                <w:szCs w:val="22"/>
                <w:lang w:val="en-US"/>
              </w:rPr>
            </w:pPr>
            <w:r>
              <w:rPr>
                <w:rFonts w:ascii="Arial" w:hAnsi="Arial" w:cs="Arial"/>
                <w:b/>
                <w:bCs/>
                <w:color w:val="000000"/>
                <w:sz w:val="22"/>
                <w:szCs w:val="22"/>
                <w:lang w:val="en-US"/>
              </w:rPr>
              <w:t>-</w:t>
            </w:r>
          </w:p>
        </w:tc>
      </w:tr>
      <w:tr w:rsidR="00277177" w:rsidRPr="003B02C1" w:rsidTr="00F831E7">
        <w:trPr>
          <w:trHeight w:val="286"/>
        </w:trPr>
        <w:tc>
          <w:tcPr>
            <w:tcW w:w="3544" w:type="dxa"/>
            <w:tcBorders>
              <w:top w:val="nil"/>
              <w:left w:val="nil"/>
              <w:bottom w:val="nil"/>
              <w:right w:val="nil"/>
            </w:tcBorders>
            <w:shd w:val="clear" w:color="auto" w:fill="auto"/>
            <w:vAlign w:val="center"/>
          </w:tcPr>
          <w:p w:rsidR="00277177" w:rsidRPr="003B02C1" w:rsidRDefault="00277177" w:rsidP="00277177">
            <w:pPr>
              <w:rPr>
                <w:rFonts w:ascii="Arial" w:hAnsi="Arial" w:cs="Arial"/>
                <w:b/>
                <w:bCs/>
                <w:color w:val="000000"/>
                <w:sz w:val="22"/>
                <w:szCs w:val="22"/>
                <w:lang w:val="en-US"/>
              </w:rPr>
            </w:pPr>
          </w:p>
        </w:tc>
        <w:tc>
          <w:tcPr>
            <w:tcW w:w="1623" w:type="dxa"/>
            <w:tcBorders>
              <w:top w:val="single" w:sz="8" w:space="0" w:color="auto"/>
              <w:left w:val="nil"/>
              <w:bottom w:val="double" w:sz="6" w:space="0" w:color="auto"/>
              <w:right w:val="nil"/>
            </w:tcBorders>
            <w:shd w:val="clear" w:color="auto" w:fill="auto"/>
            <w:noWrap/>
            <w:vAlign w:val="center"/>
          </w:tcPr>
          <w:p w:rsidR="00277177" w:rsidRPr="003B02C1" w:rsidRDefault="00277177" w:rsidP="00277177">
            <w:pPr>
              <w:jc w:val="right"/>
              <w:rPr>
                <w:rFonts w:ascii="Arial" w:hAnsi="Arial" w:cs="Arial"/>
                <w:b/>
                <w:bCs/>
                <w:color w:val="000000"/>
                <w:sz w:val="22"/>
                <w:szCs w:val="22"/>
                <w:lang w:val="en-US"/>
              </w:rPr>
            </w:pPr>
          </w:p>
        </w:tc>
        <w:tc>
          <w:tcPr>
            <w:tcW w:w="1709" w:type="dxa"/>
            <w:tcBorders>
              <w:top w:val="single" w:sz="8" w:space="0" w:color="auto"/>
              <w:left w:val="nil"/>
              <w:bottom w:val="double" w:sz="6" w:space="0" w:color="auto"/>
              <w:right w:val="nil"/>
            </w:tcBorders>
            <w:shd w:val="clear" w:color="auto" w:fill="auto"/>
            <w:noWrap/>
            <w:vAlign w:val="center"/>
          </w:tcPr>
          <w:p w:rsidR="00277177" w:rsidRPr="003B02C1" w:rsidRDefault="00277177" w:rsidP="00277177">
            <w:pPr>
              <w:jc w:val="right"/>
              <w:rPr>
                <w:rFonts w:ascii="Arial" w:hAnsi="Arial" w:cs="Arial"/>
                <w:b/>
                <w:bCs/>
                <w:color w:val="000000"/>
                <w:sz w:val="22"/>
                <w:szCs w:val="22"/>
                <w:lang w:val="en-US"/>
              </w:rPr>
            </w:pPr>
          </w:p>
        </w:tc>
        <w:tc>
          <w:tcPr>
            <w:tcW w:w="1713" w:type="dxa"/>
            <w:tcBorders>
              <w:top w:val="single" w:sz="8" w:space="0" w:color="auto"/>
              <w:left w:val="nil"/>
              <w:bottom w:val="double" w:sz="6" w:space="0" w:color="auto"/>
              <w:right w:val="nil"/>
            </w:tcBorders>
          </w:tcPr>
          <w:p w:rsidR="00277177" w:rsidRPr="003B02C1" w:rsidRDefault="00277177" w:rsidP="00277177">
            <w:pPr>
              <w:jc w:val="right"/>
              <w:rPr>
                <w:rFonts w:ascii="Arial" w:hAnsi="Arial" w:cs="Arial"/>
                <w:b/>
                <w:bCs/>
                <w:color w:val="000000"/>
                <w:sz w:val="22"/>
                <w:szCs w:val="22"/>
                <w:lang w:val="en-US"/>
              </w:rPr>
            </w:pPr>
          </w:p>
        </w:tc>
      </w:tr>
    </w:tbl>
    <w:p w:rsidR="00BC0C28" w:rsidRPr="003B02C1" w:rsidRDefault="00BC0C28" w:rsidP="001B0144">
      <w:pPr>
        <w:rPr>
          <w:rFonts w:ascii="Arial" w:hAnsi="Arial" w:cs="Arial"/>
          <w:color w:val="000000" w:themeColor="text1"/>
          <w:sz w:val="22"/>
          <w:szCs w:val="22"/>
        </w:rPr>
      </w:pPr>
    </w:p>
    <w:p w:rsidR="00363B2A" w:rsidRDefault="00363B2A" w:rsidP="001B0144">
      <w:pPr>
        <w:jc w:val="both"/>
        <w:rPr>
          <w:rFonts w:ascii="Arial" w:eastAsia="Arial" w:hAnsi="Arial" w:cs="Arial"/>
          <w:bCs/>
          <w:color w:val="000000" w:themeColor="text1"/>
          <w:sz w:val="22"/>
          <w:szCs w:val="22"/>
        </w:rPr>
      </w:pPr>
      <w:r>
        <w:rPr>
          <w:rFonts w:ascii="Arial" w:eastAsia="Arial" w:hAnsi="Arial" w:cs="Arial"/>
          <w:bCs/>
          <w:color w:val="000000" w:themeColor="text1"/>
          <w:sz w:val="22"/>
          <w:szCs w:val="22"/>
        </w:rPr>
        <w:t>The Property, Plant and Equipment was already c</w:t>
      </w:r>
      <w:r w:rsidRPr="00363B2A">
        <w:rPr>
          <w:rFonts w:ascii="Arial" w:eastAsia="Arial" w:hAnsi="Arial" w:cs="Arial"/>
          <w:bCs/>
          <w:color w:val="000000" w:themeColor="text1"/>
          <w:sz w:val="22"/>
          <w:szCs w:val="22"/>
        </w:rPr>
        <w:t>losed to F</w:t>
      </w:r>
      <w:r>
        <w:rPr>
          <w:rFonts w:ascii="Arial" w:eastAsia="Arial" w:hAnsi="Arial" w:cs="Arial"/>
          <w:bCs/>
          <w:color w:val="000000" w:themeColor="text1"/>
          <w:sz w:val="22"/>
          <w:szCs w:val="22"/>
        </w:rPr>
        <w:t xml:space="preserve">und </w:t>
      </w:r>
      <w:r w:rsidRPr="00363B2A">
        <w:rPr>
          <w:rFonts w:ascii="Arial" w:eastAsia="Arial" w:hAnsi="Arial" w:cs="Arial"/>
          <w:bCs/>
          <w:color w:val="000000" w:themeColor="text1"/>
          <w:sz w:val="22"/>
          <w:szCs w:val="22"/>
        </w:rPr>
        <w:t>C</w:t>
      </w:r>
      <w:r>
        <w:rPr>
          <w:rFonts w:ascii="Arial" w:eastAsia="Arial" w:hAnsi="Arial" w:cs="Arial"/>
          <w:bCs/>
          <w:color w:val="000000" w:themeColor="text1"/>
          <w:sz w:val="22"/>
          <w:szCs w:val="22"/>
        </w:rPr>
        <w:t>luster</w:t>
      </w:r>
      <w:r w:rsidRPr="00363B2A">
        <w:rPr>
          <w:rFonts w:ascii="Arial" w:eastAsia="Arial" w:hAnsi="Arial" w:cs="Arial"/>
          <w:bCs/>
          <w:color w:val="000000" w:themeColor="text1"/>
          <w:sz w:val="22"/>
          <w:szCs w:val="22"/>
        </w:rPr>
        <w:t xml:space="preserve"> 1 as per JEV no. 2023-02-361 dated </w:t>
      </w:r>
      <w:r>
        <w:rPr>
          <w:rFonts w:ascii="Arial" w:eastAsia="Arial" w:hAnsi="Arial" w:cs="Arial"/>
          <w:bCs/>
          <w:color w:val="000000" w:themeColor="text1"/>
          <w:sz w:val="22"/>
          <w:szCs w:val="22"/>
        </w:rPr>
        <w:t>February 28, 2023.</w:t>
      </w:r>
    </w:p>
    <w:p w:rsidR="00363B2A" w:rsidRDefault="00363B2A" w:rsidP="001B0144">
      <w:pPr>
        <w:jc w:val="both"/>
        <w:rPr>
          <w:rFonts w:ascii="Arial" w:eastAsia="Arial" w:hAnsi="Arial" w:cs="Arial"/>
          <w:bCs/>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p>
    <w:p w:rsidR="00384CC5" w:rsidRPr="003B02C1" w:rsidRDefault="00814D53" w:rsidP="00B3788B">
      <w:pPr>
        <w:jc w:val="both"/>
        <w:rPr>
          <w:rFonts w:ascii="Arial" w:eastAsia="Arial" w:hAnsi="Arial" w:cs="Arial"/>
          <w:b/>
          <w:color w:val="000000" w:themeColor="text1"/>
          <w:sz w:val="22"/>
          <w:szCs w:val="22"/>
        </w:rPr>
      </w:pPr>
      <w:r w:rsidRPr="003B02C1">
        <w:rPr>
          <w:rFonts w:ascii="Arial" w:eastAsia="Arial" w:hAnsi="Arial" w:cs="Arial"/>
          <w:b/>
          <w:color w:val="000000" w:themeColor="text1"/>
          <w:sz w:val="22"/>
          <w:szCs w:val="22"/>
        </w:rPr>
        <w:t>7</w:t>
      </w:r>
      <w:r w:rsidR="00B3788B" w:rsidRPr="003B02C1">
        <w:rPr>
          <w:rFonts w:ascii="Arial" w:eastAsia="Arial" w:hAnsi="Arial" w:cs="Arial"/>
          <w:b/>
          <w:color w:val="000000" w:themeColor="text1"/>
          <w:sz w:val="22"/>
          <w:szCs w:val="22"/>
        </w:rPr>
        <w:t>. Budget Information</w:t>
      </w:r>
    </w:p>
    <w:p w:rsidR="00B3788B" w:rsidRPr="003B02C1" w:rsidRDefault="00B3788B" w:rsidP="00B3788B">
      <w:pPr>
        <w:jc w:val="both"/>
        <w:rPr>
          <w:rFonts w:ascii="Arial" w:eastAsia="Arial" w:hAnsi="Arial" w:cs="Arial"/>
          <w:b/>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financial statements.)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original and the final budget:</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Difference of Original and Final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single"/>
        </w:rPr>
        <w:t>0</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Realignments/ Augmentation</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Continuing Appropriations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Transfers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single"/>
        </w:rPr>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double"/>
        </w:rPr>
        <w:t>0</w:t>
      </w:r>
    </w:p>
    <w:p w:rsidR="00C747D4" w:rsidRPr="003B02C1" w:rsidRDefault="00C747D4"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financial statements identifying separately the differences classified as follows: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Basis Differences, which occur when the approved budget is prepared on a basis other than the accounting basis;</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Timing Differences, which occur when the budget period differs from the reporting period reflected in the financial statements; and</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Entity Differences, which occur when the budget omits program or entities that are part of the entity for which the financial statements are prepared.)</w:t>
      </w:r>
    </w:p>
    <w:p w:rsidR="002155CC" w:rsidRPr="003B02C1" w:rsidRDefault="002155CC"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final budget and actual amounts:</w:t>
      </w:r>
    </w:p>
    <w:p w:rsidR="00384CC5" w:rsidRPr="003B02C1" w:rsidRDefault="00384CC5" w:rsidP="00384CC5">
      <w:pPr>
        <w:jc w:val="both"/>
        <w:rPr>
          <w:rFonts w:ascii="Arial" w:eastAsia="Arial" w:hAnsi="Arial" w:cs="Arial"/>
          <w:color w:val="000000" w:themeColor="text1"/>
          <w:sz w:val="22"/>
          <w:szCs w:val="22"/>
        </w:rPr>
      </w:pPr>
    </w:p>
    <w:p w:rsidR="00FF7246" w:rsidRPr="003B02C1" w:rsidRDefault="00FF7246" w:rsidP="00384CC5">
      <w:pPr>
        <w:jc w:val="both"/>
        <w:rPr>
          <w:rFonts w:ascii="Arial" w:eastAsia="Arial" w:hAnsi="Arial" w:cs="Arial"/>
          <w:color w:val="000000" w:themeColor="text1"/>
          <w:sz w:val="22"/>
          <w:szCs w:val="22"/>
        </w:rPr>
      </w:pPr>
    </w:p>
    <w:p w:rsidR="00384CC5" w:rsidRPr="003B02C1" w:rsidRDefault="00384CC5" w:rsidP="008F4279">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Difference of Fin</w:t>
      </w:r>
      <w:r w:rsidR="00546311" w:rsidRPr="003B02C1">
        <w:rPr>
          <w:rFonts w:ascii="Arial" w:eastAsia="Arial" w:hAnsi="Arial" w:cs="Arial"/>
          <w:color w:val="000000" w:themeColor="text1"/>
          <w:sz w:val="22"/>
          <w:szCs w:val="22"/>
        </w:rPr>
        <w:t>al Budget and Actual Amounts</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Unreleas</w:t>
      </w:r>
      <w:r w:rsidR="00546311" w:rsidRPr="003B02C1">
        <w:rPr>
          <w:rFonts w:ascii="Arial" w:eastAsia="Arial" w:hAnsi="Arial" w:cs="Arial"/>
          <w:color w:val="000000" w:themeColor="text1"/>
          <w:sz w:val="22"/>
          <w:szCs w:val="22"/>
        </w:rPr>
        <w:t>ed appropriations/ budget</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t xml:space="preserve">      </w:t>
      </w:r>
      <w:r w:rsidR="0037658E" w:rsidRPr="003B02C1">
        <w:rPr>
          <w:rFonts w:ascii="Arial" w:eastAsia="Arial" w:hAnsi="Arial" w:cs="Arial"/>
          <w:color w:val="000000" w:themeColor="text1"/>
          <w:sz w:val="22"/>
          <w:szCs w:val="22"/>
        </w:rPr>
        <w:t xml:space="preserve">      </w:t>
      </w:r>
      <w:r w:rsidR="00546311" w:rsidRPr="003B02C1">
        <w:rPr>
          <w:rFonts w:ascii="Arial" w:eastAsia="Arial" w:hAnsi="Arial" w:cs="Arial"/>
          <w:color w:val="000000" w:themeColor="text1"/>
          <w:sz w:val="22"/>
          <w:szCs w:val="22"/>
        </w:rPr>
        <w:t xml:space="preserve">    -</w:t>
      </w:r>
      <w:r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Unobligated allotments/ unutilized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37658E" w:rsidRPr="003B02C1">
        <w:rPr>
          <w:rFonts w:ascii="Arial" w:eastAsia="Arial" w:hAnsi="Arial" w:cs="Arial"/>
          <w:color w:val="000000" w:themeColor="text1"/>
          <w:sz w:val="22"/>
          <w:szCs w:val="22"/>
        </w:rPr>
        <w:t xml:space="preserve">              </w:t>
      </w:r>
      <w:r w:rsidR="0032726A" w:rsidRPr="003B02C1">
        <w:rPr>
          <w:rFonts w:ascii="Arial" w:eastAsia="Arial" w:hAnsi="Arial" w:cs="Arial"/>
          <w:color w:val="000000" w:themeColor="text1"/>
          <w:sz w:val="22"/>
          <w:szCs w:val="22"/>
        </w:rPr>
        <w:t xml:space="preserve">  </w:t>
      </w:r>
      <w:r w:rsidR="0037658E" w:rsidRPr="003B02C1">
        <w:rPr>
          <w:rFonts w:ascii="Arial" w:eastAsia="Arial" w:hAnsi="Arial" w:cs="Arial"/>
          <w:color w:val="000000" w:themeColor="text1"/>
          <w:sz w:val="22"/>
          <w:szCs w:val="22"/>
        </w:rPr>
        <w:t>-</w:t>
      </w:r>
    </w:p>
    <w:p w:rsidR="00546311" w:rsidRPr="003B02C1" w:rsidRDefault="00384CC5" w:rsidP="008F4279">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Unpaid obligations/ utilizations reflected in the SAAODB/ SABUDB</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8F4279" w:rsidRPr="003B02C1">
        <w:rPr>
          <w:rFonts w:ascii="Arial" w:eastAsia="Arial" w:hAnsi="Arial" w:cs="Arial"/>
          <w:color w:val="000000" w:themeColor="text1"/>
          <w:sz w:val="22"/>
          <w:szCs w:val="22"/>
          <w:u w:val="single"/>
        </w:rPr>
        <w:t xml:space="preserve">  </w:t>
      </w:r>
      <w:r w:rsidR="001F40EA" w:rsidRPr="003B02C1">
        <w:rPr>
          <w:rFonts w:ascii="Arial" w:eastAsia="Arial" w:hAnsi="Arial" w:cs="Arial"/>
          <w:color w:val="000000" w:themeColor="text1"/>
          <w:sz w:val="22"/>
          <w:szCs w:val="22"/>
          <w:u w:val="single"/>
        </w:rPr>
        <w:t xml:space="preserve">   </w:t>
      </w:r>
      <w:r w:rsidR="00FF7246" w:rsidRPr="003B02C1">
        <w:rPr>
          <w:rFonts w:ascii="Arial" w:eastAsia="Arial" w:hAnsi="Arial" w:cs="Arial"/>
          <w:color w:val="000000" w:themeColor="text1"/>
          <w:sz w:val="22"/>
          <w:szCs w:val="22"/>
          <w:u w:val="single"/>
        </w:rPr>
        <w:t xml:space="preserve">  </w:t>
      </w:r>
      <w:r w:rsidR="001F40EA" w:rsidRPr="003B02C1">
        <w:rPr>
          <w:rFonts w:ascii="Arial" w:eastAsia="Arial" w:hAnsi="Arial" w:cs="Arial"/>
          <w:color w:val="000000" w:themeColor="text1"/>
          <w:sz w:val="22"/>
          <w:szCs w:val="22"/>
          <w:u w:val="single"/>
        </w:rPr>
        <w:t xml:space="preserve">      0</w:t>
      </w:r>
      <w:r w:rsidR="008F4279" w:rsidRPr="003B02C1">
        <w:rPr>
          <w:rFonts w:ascii="Arial" w:eastAsia="Arial" w:hAnsi="Arial" w:cs="Arial"/>
          <w:color w:val="000000" w:themeColor="text1"/>
          <w:sz w:val="22"/>
          <w:szCs w:val="22"/>
          <w:u w:val="single"/>
        </w:rPr>
        <w:t>.</w:t>
      </w:r>
      <w:r w:rsidR="001F40EA" w:rsidRPr="003B02C1">
        <w:rPr>
          <w:rFonts w:ascii="Arial" w:eastAsia="Arial" w:hAnsi="Arial" w:cs="Arial"/>
          <w:color w:val="000000" w:themeColor="text1"/>
          <w:sz w:val="22"/>
          <w:szCs w:val="22"/>
          <w:u w:val="single"/>
        </w:rPr>
        <w:t>00</w:t>
      </w:r>
    </w:p>
    <w:p w:rsidR="009F2B8A" w:rsidRPr="003B02C1" w:rsidRDefault="00384CC5" w:rsidP="00851C16">
      <w:pPr>
        <w:jc w:val="both"/>
        <w:rPr>
          <w:rFonts w:ascii="Arial" w:eastAsia="Arial" w:hAnsi="Arial" w:cs="Arial"/>
          <w:b/>
          <w:color w:val="000000" w:themeColor="text1"/>
          <w:sz w:val="22"/>
          <w:szCs w:val="22"/>
          <w:u w:val="double"/>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37658E" w:rsidRPr="003B02C1">
        <w:rPr>
          <w:rFonts w:ascii="Arial" w:eastAsia="Arial" w:hAnsi="Arial" w:cs="Arial"/>
          <w:color w:val="000000" w:themeColor="text1"/>
          <w:sz w:val="22"/>
          <w:szCs w:val="22"/>
        </w:rPr>
        <w:t xml:space="preserve">           </w:t>
      </w:r>
      <w:r w:rsidR="00FF7246" w:rsidRPr="003B02C1">
        <w:rPr>
          <w:rFonts w:ascii="Arial" w:eastAsia="Arial" w:hAnsi="Arial" w:cs="Arial"/>
          <w:color w:val="000000" w:themeColor="text1"/>
          <w:sz w:val="22"/>
          <w:szCs w:val="22"/>
        </w:rPr>
        <w:t xml:space="preserve">  </w:t>
      </w:r>
      <w:r w:rsidR="0037658E" w:rsidRPr="003B02C1">
        <w:rPr>
          <w:rFonts w:ascii="Arial" w:eastAsia="Arial" w:hAnsi="Arial" w:cs="Arial"/>
          <w:b/>
          <w:color w:val="000000" w:themeColor="text1"/>
          <w:sz w:val="22"/>
          <w:szCs w:val="22"/>
          <w:u w:val="double"/>
        </w:rPr>
        <w:t>0.00</w:t>
      </w:r>
    </w:p>
    <w:p w:rsidR="00335248" w:rsidRPr="003B02C1" w:rsidRDefault="00335248" w:rsidP="00851C16">
      <w:pPr>
        <w:jc w:val="both"/>
        <w:rPr>
          <w:rFonts w:ascii="Arial" w:eastAsia="Arial" w:hAnsi="Arial" w:cs="Arial"/>
          <w:color w:val="000000" w:themeColor="text1"/>
          <w:sz w:val="22"/>
          <w:szCs w:val="22"/>
        </w:rPr>
      </w:pPr>
    </w:p>
    <w:sectPr w:rsidR="00335248" w:rsidRPr="003B02C1" w:rsidSect="00F803BD">
      <w:headerReference w:type="default" r:id="rId8"/>
      <w:footerReference w:type="default" r:id="rId9"/>
      <w:pgSz w:w="11907" w:h="16839" w:code="9"/>
      <w:pgMar w:top="274" w:right="1440" w:bottom="490" w:left="1440" w:header="63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0B54" w:rsidRDefault="00180B54">
      <w:r>
        <w:separator/>
      </w:r>
    </w:p>
  </w:endnote>
  <w:endnote w:type="continuationSeparator" w:id="0">
    <w:p w:rsidR="00180B54" w:rsidRDefault="00180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B76A70" w:rsidRDefault="00B76A70">
        <w:pPr>
          <w:pStyle w:val="Footer"/>
          <w:jc w:val="center"/>
        </w:pPr>
        <w:r>
          <w:fldChar w:fldCharType="begin"/>
        </w:r>
        <w:r>
          <w:instrText xml:space="preserve"> PAGE   \* MERGEFORMAT </w:instrText>
        </w:r>
        <w:r>
          <w:fldChar w:fldCharType="separate"/>
        </w:r>
        <w:r w:rsidR="00BE1D90">
          <w:rPr>
            <w:noProof/>
          </w:rPr>
          <w:t>17</w:t>
        </w:r>
        <w:r>
          <w:rPr>
            <w:noProof/>
          </w:rPr>
          <w:fldChar w:fldCharType="end"/>
        </w:r>
      </w:p>
    </w:sdtContent>
  </w:sdt>
  <w:p w:rsidR="00B76A70" w:rsidRDefault="00B76A70" w:rsidP="00B2476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0B54" w:rsidRDefault="00180B54">
      <w:r>
        <w:separator/>
      </w:r>
    </w:p>
  </w:footnote>
  <w:footnote w:type="continuationSeparator" w:id="0">
    <w:p w:rsidR="00180B54" w:rsidRDefault="00180B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70" w:rsidRPr="00491093" w:rsidRDefault="00B76A70" w:rsidP="00B2476A">
    <w:pPr>
      <w:jc w:val="center"/>
      <w:rPr>
        <w:b/>
        <w:bCs/>
        <w:lang w:eastAsia="en-PH"/>
      </w:rPr>
    </w:pPr>
    <w:r w:rsidRPr="00491093">
      <w:rPr>
        <w:b/>
        <w:bCs/>
        <w:lang w:eastAsia="en-PH"/>
      </w:rPr>
      <w:t xml:space="preserve">DEPARTMENT OF SOCIAL WELFARE AND DEVELOPMENT </w:t>
    </w:r>
  </w:p>
  <w:p w:rsidR="00B76A70" w:rsidRPr="00491093" w:rsidRDefault="00B76A70" w:rsidP="00B2476A">
    <w:pPr>
      <w:pStyle w:val="Header"/>
      <w:jc w:val="center"/>
      <w:rPr>
        <w:b/>
        <w:bCs/>
        <w:lang w:eastAsia="en-PH"/>
      </w:rPr>
    </w:pPr>
    <w:r>
      <w:rPr>
        <w:b/>
        <w:bCs/>
        <w:lang w:eastAsia="en-PH"/>
      </w:rPr>
      <w:t>Regional Office X</w:t>
    </w:r>
  </w:p>
  <w:p w:rsidR="0042434D" w:rsidRDefault="00B76A70" w:rsidP="0042434D">
    <w:pPr>
      <w:pStyle w:val="Header"/>
      <w:jc w:val="center"/>
      <w:rPr>
        <w:sz w:val="22"/>
        <w:szCs w:val="22"/>
      </w:rPr>
    </w:pPr>
    <w:r w:rsidRPr="00A62433">
      <w:rPr>
        <w:sz w:val="22"/>
        <w:szCs w:val="22"/>
      </w:rPr>
      <w:t xml:space="preserve">Financial statements for </w:t>
    </w:r>
    <w:r>
      <w:rPr>
        <w:sz w:val="22"/>
        <w:szCs w:val="22"/>
      </w:rPr>
      <w:t>the year</w:t>
    </w:r>
    <w:r w:rsidR="0042434D">
      <w:rPr>
        <w:sz w:val="22"/>
        <w:szCs w:val="22"/>
      </w:rPr>
      <w:t xml:space="preserve"> ending December 31, 2023</w:t>
    </w:r>
  </w:p>
  <w:p w:rsidR="00B76A70" w:rsidRPr="00A62433" w:rsidRDefault="00B76A70" w:rsidP="00B2476A">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5"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A860BC1"/>
    <w:multiLevelType w:val="hybridMultilevel"/>
    <w:tmpl w:val="90A820D4"/>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8"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2"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3"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451277"/>
    <w:multiLevelType w:val="hybridMultilevel"/>
    <w:tmpl w:val="44BEA0B2"/>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18"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19"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6"/>
  </w:num>
  <w:num w:numId="2">
    <w:abstractNumId w:val="20"/>
  </w:num>
  <w:num w:numId="3">
    <w:abstractNumId w:val="13"/>
  </w:num>
  <w:num w:numId="4">
    <w:abstractNumId w:val="19"/>
  </w:num>
  <w:num w:numId="5">
    <w:abstractNumId w:val="5"/>
  </w:num>
  <w:num w:numId="6">
    <w:abstractNumId w:val="16"/>
  </w:num>
  <w:num w:numId="7">
    <w:abstractNumId w:val="2"/>
  </w:num>
  <w:num w:numId="8">
    <w:abstractNumId w:val="8"/>
  </w:num>
  <w:num w:numId="9">
    <w:abstractNumId w:val="11"/>
  </w:num>
  <w:num w:numId="10">
    <w:abstractNumId w:val="14"/>
  </w:num>
  <w:num w:numId="11">
    <w:abstractNumId w:val="21"/>
  </w:num>
  <w:num w:numId="12">
    <w:abstractNumId w:val="0"/>
  </w:num>
  <w:num w:numId="13">
    <w:abstractNumId w:val="1"/>
  </w:num>
  <w:num w:numId="14">
    <w:abstractNumId w:val="9"/>
  </w:num>
  <w:num w:numId="15">
    <w:abstractNumId w:val="10"/>
  </w:num>
  <w:num w:numId="16">
    <w:abstractNumId w:val="3"/>
  </w:num>
  <w:num w:numId="17">
    <w:abstractNumId w:val="15"/>
  </w:num>
  <w:num w:numId="18">
    <w:abstractNumId w:val="18"/>
  </w:num>
  <w:num w:numId="19">
    <w:abstractNumId w:val="7"/>
  </w:num>
  <w:num w:numId="20">
    <w:abstractNumId w:val="4"/>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CC5"/>
    <w:rsid w:val="00016119"/>
    <w:rsid w:val="00024345"/>
    <w:rsid w:val="000304AD"/>
    <w:rsid w:val="00031EBF"/>
    <w:rsid w:val="000870CB"/>
    <w:rsid w:val="00087FD8"/>
    <w:rsid w:val="000C3EE6"/>
    <w:rsid w:val="000E4BD8"/>
    <w:rsid w:val="000F3198"/>
    <w:rsid w:val="00120BD4"/>
    <w:rsid w:val="001234A4"/>
    <w:rsid w:val="00130F69"/>
    <w:rsid w:val="00132729"/>
    <w:rsid w:val="00151BF4"/>
    <w:rsid w:val="0015435C"/>
    <w:rsid w:val="0017626B"/>
    <w:rsid w:val="00180B54"/>
    <w:rsid w:val="00181B66"/>
    <w:rsid w:val="001856AE"/>
    <w:rsid w:val="00191123"/>
    <w:rsid w:val="001936B6"/>
    <w:rsid w:val="0019566D"/>
    <w:rsid w:val="001B0144"/>
    <w:rsid w:val="001F14F6"/>
    <w:rsid w:val="001F40EA"/>
    <w:rsid w:val="002155CC"/>
    <w:rsid w:val="00227B13"/>
    <w:rsid w:val="00230202"/>
    <w:rsid w:val="00236613"/>
    <w:rsid w:val="00252A1B"/>
    <w:rsid w:val="002707B0"/>
    <w:rsid w:val="002721A0"/>
    <w:rsid w:val="00277177"/>
    <w:rsid w:val="00281267"/>
    <w:rsid w:val="002A5704"/>
    <w:rsid w:val="002B03A7"/>
    <w:rsid w:val="002D7E73"/>
    <w:rsid w:val="002F6512"/>
    <w:rsid w:val="00301F13"/>
    <w:rsid w:val="0031420F"/>
    <w:rsid w:val="00315189"/>
    <w:rsid w:val="00324A9D"/>
    <w:rsid w:val="00326492"/>
    <w:rsid w:val="0032726A"/>
    <w:rsid w:val="00335248"/>
    <w:rsid w:val="003525F7"/>
    <w:rsid w:val="003539B4"/>
    <w:rsid w:val="00363B2A"/>
    <w:rsid w:val="00364208"/>
    <w:rsid w:val="0037658E"/>
    <w:rsid w:val="00384CC5"/>
    <w:rsid w:val="00386F40"/>
    <w:rsid w:val="00397310"/>
    <w:rsid w:val="003A2F21"/>
    <w:rsid w:val="003B026F"/>
    <w:rsid w:val="003B02C1"/>
    <w:rsid w:val="003B72C1"/>
    <w:rsid w:val="003D6F27"/>
    <w:rsid w:val="003D7149"/>
    <w:rsid w:val="003F079C"/>
    <w:rsid w:val="004107A6"/>
    <w:rsid w:val="00423893"/>
    <w:rsid w:val="0042434D"/>
    <w:rsid w:val="00425705"/>
    <w:rsid w:val="004334B5"/>
    <w:rsid w:val="00444918"/>
    <w:rsid w:val="004B24D2"/>
    <w:rsid w:val="004B60DE"/>
    <w:rsid w:val="004D4A2C"/>
    <w:rsid w:val="004E01D5"/>
    <w:rsid w:val="005229CE"/>
    <w:rsid w:val="00524913"/>
    <w:rsid w:val="00535621"/>
    <w:rsid w:val="00542770"/>
    <w:rsid w:val="00546311"/>
    <w:rsid w:val="00555092"/>
    <w:rsid w:val="00555509"/>
    <w:rsid w:val="005B078A"/>
    <w:rsid w:val="005C451A"/>
    <w:rsid w:val="005D7EA5"/>
    <w:rsid w:val="0060095B"/>
    <w:rsid w:val="00613CD6"/>
    <w:rsid w:val="0063264E"/>
    <w:rsid w:val="00667348"/>
    <w:rsid w:val="006D0EF8"/>
    <w:rsid w:val="006D6FD5"/>
    <w:rsid w:val="006F2E05"/>
    <w:rsid w:val="007117A8"/>
    <w:rsid w:val="00712ED7"/>
    <w:rsid w:val="007364EA"/>
    <w:rsid w:val="00745154"/>
    <w:rsid w:val="00746B53"/>
    <w:rsid w:val="00766D96"/>
    <w:rsid w:val="00793D57"/>
    <w:rsid w:val="007950D5"/>
    <w:rsid w:val="00796CF5"/>
    <w:rsid w:val="007C383D"/>
    <w:rsid w:val="007C7519"/>
    <w:rsid w:val="007E60C9"/>
    <w:rsid w:val="007F6F32"/>
    <w:rsid w:val="00800F71"/>
    <w:rsid w:val="00814D53"/>
    <w:rsid w:val="00823C30"/>
    <w:rsid w:val="00826807"/>
    <w:rsid w:val="00831CF3"/>
    <w:rsid w:val="0084313F"/>
    <w:rsid w:val="00851C16"/>
    <w:rsid w:val="008773E1"/>
    <w:rsid w:val="0088242F"/>
    <w:rsid w:val="00882672"/>
    <w:rsid w:val="008A0444"/>
    <w:rsid w:val="008C13CF"/>
    <w:rsid w:val="008D773D"/>
    <w:rsid w:val="008E03DB"/>
    <w:rsid w:val="008E0B98"/>
    <w:rsid w:val="008F4279"/>
    <w:rsid w:val="00914EE9"/>
    <w:rsid w:val="00941BE3"/>
    <w:rsid w:val="00967D4D"/>
    <w:rsid w:val="009766AD"/>
    <w:rsid w:val="009A7E5E"/>
    <w:rsid w:val="009C1DF9"/>
    <w:rsid w:val="009F2B8A"/>
    <w:rsid w:val="00A07FBA"/>
    <w:rsid w:val="00A43426"/>
    <w:rsid w:val="00A52B1C"/>
    <w:rsid w:val="00A5792B"/>
    <w:rsid w:val="00A933C9"/>
    <w:rsid w:val="00AD60BB"/>
    <w:rsid w:val="00AE3914"/>
    <w:rsid w:val="00AE4E86"/>
    <w:rsid w:val="00AF2D85"/>
    <w:rsid w:val="00AF5806"/>
    <w:rsid w:val="00B00416"/>
    <w:rsid w:val="00B018B1"/>
    <w:rsid w:val="00B11112"/>
    <w:rsid w:val="00B136EB"/>
    <w:rsid w:val="00B2476A"/>
    <w:rsid w:val="00B33A61"/>
    <w:rsid w:val="00B348DB"/>
    <w:rsid w:val="00B3788B"/>
    <w:rsid w:val="00B47E58"/>
    <w:rsid w:val="00B55D7E"/>
    <w:rsid w:val="00B76A70"/>
    <w:rsid w:val="00B90A0B"/>
    <w:rsid w:val="00B97B34"/>
    <w:rsid w:val="00BA6F57"/>
    <w:rsid w:val="00BB275F"/>
    <w:rsid w:val="00BC0C28"/>
    <w:rsid w:val="00BC3579"/>
    <w:rsid w:val="00BC5E18"/>
    <w:rsid w:val="00BE1D90"/>
    <w:rsid w:val="00BE480B"/>
    <w:rsid w:val="00BF54AC"/>
    <w:rsid w:val="00C04242"/>
    <w:rsid w:val="00C14D01"/>
    <w:rsid w:val="00C16A50"/>
    <w:rsid w:val="00C31366"/>
    <w:rsid w:val="00C42BAB"/>
    <w:rsid w:val="00C53395"/>
    <w:rsid w:val="00C63470"/>
    <w:rsid w:val="00C747D4"/>
    <w:rsid w:val="00C926A0"/>
    <w:rsid w:val="00CA3512"/>
    <w:rsid w:val="00CC7064"/>
    <w:rsid w:val="00CD373F"/>
    <w:rsid w:val="00CE139E"/>
    <w:rsid w:val="00D11F2D"/>
    <w:rsid w:val="00D13EBB"/>
    <w:rsid w:val="00D253C5"/>
    <w:rsid w:val="00D3788E"/>
    <w:rsid w:val="00D418D5"/>
    <w:rsid w:val="00D41C84"/>
    <w:rsid w:val="00D55E10"/>
    <w:rsid w:val="00D57408"/>
    <w:rsid w:val="00D77DC5"/>
    <w:rsid w:val="00DA7D18"/>
    <w:rsid w:val="00DB63CD"/>
    <w:rsid w:val="00DC177D"/>
    <w:rsid w:val="00DC4F54"/>
    <w:rsid w:val="00DE0AD0"/>
    <w:rsid w:val="00E046DA"/>
    <w:rsid w:val="00E2670A"/>
    <w:rsid w:val="00E318FD"/>
    <w:rsid w:val="00E33F3F"/>
    <w:rsid w:val="00E43C83"/>
    <w:rsid w:val="00E51195"/>
    <w:rsid w:val="00E56A23"/>
    <w:rsid w:val="00EA0920"/>
    <w:rsid w:val="00EB2EB0"/>
    <w:rsid w:val="00EC3318"/>
    <w:rsid w:val="00F124D9"/>
    <w:rsid w:val="00F127BF"/>
    <w:rsid w:val="00F2354B"/>
    <w:rsid w:val="00F73C4F"/>
    <w:rsid w:val="00F803BD"/>
    <w:rsid w:val="00F831E7"/>
    <w:rsid w:val="00F84DD5"/>
    <w:rsid w:val="00F8604F"/>
    <w:rsid w:val="00F92F5C"/>
    <w:rsid w:val="00FA7E7D"/>
    <w:rsid w:val="00FB07BE"/>
    <w:rsid w:val="00FB148C"/>
    <w:rsid w:val="00FC7217"/>
    <w:rsid w:val="00FD2DB4"/>
    <w:rsid w:val="00FE6759"/>
    <w:rsid w:val="00FF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D495A-5EDF-45C5-956C-BFE251D2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CC5"/>
    <w:pPr>
      <w:spacing w:after="0" w:line="240" w:lineRule="auto"/>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CC5"/>
    <w:pPr>
      <w:ind w:left="720"/>
      <w:contextualSpacing/>
    </w:pPr>
  </w:style>
  <w:style w:type="paragraph" w:styleId="Header">
    <w:name w:val="header"/>
    <w:basedOn w:val="Normal"/>
    <w:link w:val="HeaderChar"/>
    <w:uiPriority w:val="99"/>
    <w:rsid w:val="00384CC5"/>
    <w:pPr>
      <w:tabs>
        <w:tab w:val="center" w:pos="4680"/>
        <w:tab w:val="right" w:pos="9360"/>
      </w:tabs>
    </w:pPr>
  </w:style>
  <w:style w:type="character" w:customStyle="1" w:styleId="HeaderChar">
    <w:name w:val="Header Char"/>
    <w:basedOn w:val="DefaultParagraphFont"/>
    <w:link w:val="Header"/>
    <w:uiPriority w:val="99"/>
    <w:rsid w:val="00384CC5"/>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84CC5"/>
    <w:pPr>
      <w:tabs>
        <w:tab w:val="center" w:pos="4680"/>
        <w:tab w:val="right" w:pos="9360"/>
      </w:tabs>
    </w:pPr>
  </w:style>
  <w:style w:type="character" w:customStyle="1" w:styleId="FooterChar">
    <w:name w:val="Footer Char"/>
    <w:basedOn w:val="DefaultParagraphFont"/>
    <w:link w:val="Footer"/>
    <w:uiPriority w:val="99"/>
    <w:rsid w:val="00384CC5"/>
    <w:rPr>
      <w:rFonts w:ascii="Times New Roman" w:eastAsia="Times New Roman" w:hAnsi="Times New Roman" w:cs="Times New Roman"/>
      <w:sz w:val="24"/>
      <w:szCs w:val="20"/>
      <w:lang w:val="en-CA"/>
    </w:rPr>
  </w:style>
  <w:style w:type="table" w:styleId="TableGrid">
    <w:name w:val="Table Grid"/>
    <w:basedOn w:val="TableNormal"/>
    <w:rsid w:val="00384CC5"/>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384CC5"/>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84CC5"/>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176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26B"/>
    <w:rPr>
      <w:rFonts w:ascii="Segoe UI" w:eastAsia="Times New Roman"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046457">
      <w:bodyDiv w:val="1"/>
      <w:marLeft w:val="0"/>
      <w:marRight w:val="0"/>
      <w:marTop w:val="0"/>
      <w:marBottom w:val="0"/>
      <w:divBdr>
        <w:top w:val="none" w:sz="0" w:space="0" w:color="auto"/>
        <w:left w:val="none" w:sz="0" w:space="0" w:color="auto"/>
        <w:bottom w:val="none" w:sz="0" w:space="0" w:color="auto"/>
        <w:right w:val="none" w:sz="0" w:space="0" w:color="auto"/>
      </w:divBdr>
    </w:div>
    <w:div w:id="98804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87FEBB-F926-45DE-ADDF-EA352429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5755</Words>
  <Characters>32810</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14</cp:revision>
  <cp:lastPrinted>2022-04-22T06:10:00Z</cp:lastPrinted>
  <dcterms:created xsi:type="dcterms:W3CDTF">2024-01-15T07:30:00Z</dcterms:created>
  <dcterms:modified xsi:type="dcterms:W3CDTF">2024-01-19T09:44:00Z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94cc3b27875835703311de00a2fc3a5887a0d0d6907d355071f8316b2d9ef6d1</vt:lpwstr>
  </property>
</Properties>
</file>